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EE05">
      <w:pPr>
        <w:spacing w:before="163" w:line="228" w:lineRule="auto"/>
        <w:rPr>
          <w:rFonts w:ascii="黑体" w:hAnsi="黑体" w:eastAsia="黑体" w:cs="黑体"/>
          <w:sz w:val="31"/>
          <w:szCs w:val="31"/>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r>
        <w:rPr>
          <w:rFonts w:ascii="黑体" w:hAnsi="黑体" w:eastAsia="黑体" w:cs="黑体"/>
          <w:spacing w:val="-4"/>
          <w:sz w:val="31"/>
          <w:szCs w:val="31"/>
        </w:rPr>
        <w:t>：</w:t>
      </w:r>
    </w:p>
    <w:p w14:paraId="59E773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2"/>
          <w:szCs w:val="32"/>
          <w:lang w:val="en-US" w:eastAsia="zh-CN"/>
        </w:rPr>
      </w:pPr>
      <w:r>
        <w:rPr>
          <w:rFonts w:hint="eastAsia" w:ascii="方正小标宋简体" w:hAnsi="方正小标宋简体" w:eastAsia="方正小标宋简体" w:cs="方正小标宋简体"/>
          <w:spacing w:val="9"/>
          <w:sz w:val="32"/>
          <w:szCs w:val="32"/>
          <w:lang w:val="en-US" w:eastAsia="zh-CN"/>
        </w:rPr>
        <w:t>关于海马新能源汽车有限公司数智化工厂技术改造项目</w:t>
      </w:r>
    </w:p>
    <w:p w14:paraId="005548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2"/>
          <w:szCs w:val="32"/>
          <w:lang w:val="en-US" w:eastAsia="zh-CN"/>
        </w:rPr>
      </w:pPr>
      <w:r>
        <w:rPr>
          <w:rFonts w:hint="eastAsia" w:ascii="方正小标宋简体" w:hAnsi="方正小标宋简体" w:eastAsia="方正小标宋简体" w:cs="方正小标宋简体"/>
          <w:spacing w:val="9"/>
          <w:sz w:val="32"/>
          <w:szCs w:val="32"/>
          <w:lang w:val="en-US" w:eastAsia="zh-CN"/>
        </w:rPr>
        <w:t>节能评估技术咨询服务</w:t>
      </w:r>
    </w:p>
    <w:p w14:paraId="4A01C0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2"/>
          <w:szCs w:val="32"/>
        </w:rPr>
      </w:pPr>
      <w:r>
        <w:rPr>
          <w:rFonts w:hint="eastAsia" w:ascii="方正小标宋简体" w:hAnsi="方正小标宋简体" w:eastAsia="方正小标宋简体" w:cs="方正小标宋简体"/>
          <w:spacing w:val="9"/>
          <w:sz w:val="32"/>
          <w:szCs w:val="32"/>
        </w:rPr>
        <w:t>询价函</w:t>
      </w:r>
    </w:p>
    <w:tbl>
      <w:tblPr>
        <w:tblStyle w:val="7"/>
        <w:tblW w:w="93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447"/>
        <w:gridCol w:w="6226"/>
      </w:tblGrid>
      <w:tr w14:paraId="7171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66" w:type="dxa"/>
            <w:vAlign w:val="center"/>
          </w:tcPr>
          <w:p w14:paraId="0FA31D42">
            <w:pPr>
              <w:pStyle w:val="8"/>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447" w:type="dxa"/>
            <w:vAlign w:val="center"/>
          </w:tcPr>
          <w:p w14:paraId="63B5C5CF">
            <w:pPr>
              <w:pStyle w:val="8"/>
              <w:spacing w:before="91"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项目名称</w:t>
            </w:r>
          </w:p>
        </w:tc>
        <w:tc>
          <w:tcPr>
            <w:tcW w:w="6226" w:type="dxa"/>
            <w:vAlign w:val="center"/>
          </w:tcPr>
          <w:p w14:paraId="155A874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lang w:val="en-US" w:eastAsia="zh-CN"/>
              </w:rPr>
              <w:t>海马新能源汽车有限公司数智化工厂技术改造项目节能评估技术咨询服务</w:t>
            </w:r>
          </w:p>
        </w:tc>
      </w:tr>
      <w:tr w14:paraId="3072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54A40A8D">
            <w:pPr>
              <w:pStyle w:val="8"/>
              <w:spacing w:before="210"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447" w:type="dxa"/>
            <w:vAlign w:val="center"/>
          </w:tcPr>
          <w:p w14:paraId="0BFAB9B6">
            <w:pPr>
              <w:pStyle w:val="8"/>
              <w:spacing w:before="174"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采购内容</w:t>
            </w:r>
          </w:p>
        </w:tc>
        <w:tc>
          <w:tcPr>
            <w:tcW w:w="6226" w:type="dxa"/>
            <w:vAlign w:val="center"/>
          </w:tcPr>
          <w:p w14:paraId="20AE1A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2.1采购范围</w:t>
            </w:r>
          </w:p>
          <w:p w14:paraId="1AA8C1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（1）收集并梳理资料，现场踏勘。</w:t>
            </w:r>
          </w:p>
          <w:p w14:paraId="498898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（2）编制节能报告书初稿。</w:t>
            </w:r>
          </w:p>
          <w:p w14:paraId="01DB9E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（3）送至县发改委初审，出具请示文件。</w:t>
            </w:r>
          </w:p>
          <w:p w14:paraId="0AFB30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（4）召开专家评审会，根据专家意见修改报告书。</w:t>
            </w:r>
          </w:p>
          <w:p w14:paraId="31426E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（5）终版报告书上报审批，取得节能意见批复。</w:t>
            </w:r>
          </w:p>
          <w:p w14:paraId="504033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（6）费用由乙方全额负责，包含但不限于会务费、专家费、差旅食宿费等所有费用，直至取得批文。</w:t>
            </w:r>
          </w:p>
          <w:p w14:paraId="579A65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（7）因政策原因，导致工作量增加的，甲方不额外增加费用。</w:t>
            </w:r>
          </w:p>
          <w:p w14:paraId="6B77BC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2.2交付成果</w:t>
            </w:r>
          </w:p>
          <w:p w14:paraId="2CF137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拿到节能评估批文后，须出具报批版报告书10份（盖章版），电子版PDF报告书1份（含完整附件）。</w:t>
            </w:r>
          </w:p>
        </w:tc>
      </w:tr>
      <w:tr w14:paraId="1CA7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3B91FC9B">
            <w:pPr>
              <w:pStyle w:val="8"/>
              <w:spacing w:before="212"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447" w:type="dxa"/>
            <w:vAlign w:val="center"/>
          </w:tcPr>
          <w:p w14:paraId="2E8F4CC0">
            <w:pPr>
              <w:pStyle w:val="8"/>
              <w:spacing w:before="175" w:line="21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采购人</w:t>
            </w:r>
          </w:p>
        </w:tc>
        <w:tc>
          <w:tcPr>
            <w:tcW w:w="6226" w:type="dxa"/>
            <w:vAlign w:val="center"/>
          </w:tcPr>
          <w:p w14:paraId="2041753F">
            <w:pPr>
              <w:pStyle w:val="8"/>
              <w:spacing w:before="176" w:line="214" w:lineRule="auto"/>
              <w:ind w:left="61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海马新能源汽车有限公司</w:t>
            </w:r>
          </w:p>
        </w:tc>
      </w:tr>
      <w:tr w14:paraId="0CF8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A081B47">
            <w:pPr>
              <w:pStyle w:val="8"/>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447" w:type="dxa"/>
            <w:vAlign w:val="center"/>
          </w:tcPr>
          <w:p w14:paraId="024B34E4">
            <w:pPr>
              <w:pStyle w:val="8"/>
              <w:spacing w:before="174" w:line="352" w:lineRule="auto"/>
              <w:ind w:right="22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最高响应限价(含</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税）</w:t>
            </w:r>
          </w:p>
        </w:tc>
        <w:tc>
          <w:tcPr>
            <w:tcW w:w="6226" w:type="dxa"/>
            <w:vAlign w:val="center"/>
          </w:tcPr>
          <w:p w14:paraId="2BAF5D80">
            <w:pPr>
              <w:pStyle w:val="8"/>
              <w:spacing w:before="91" w:line="216"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1"/>
                <w:sz w:val="28"/>
                <w:szCs w:val="28"/>
              </w:rPr>
              <w:t>人民币</w:t>
            </w:r>
            <w:r>
              <w:rPr>
                <w:rFonts w:hint="eastAsia" w:ascii="仿宋_GB2312" w:hAnsi="仿宋_GB2312" w:eastAsia="仿宋_GB2312" w:cs="仿宋_GB2312"/>
                <w:spacing w:val="5"/>
                <w:position w:val="-1"/>
                <w:sz w:val="28"/>
                <w:szCs w:val="28"/>
                <w:u w:val="single"/>
                <w:lang w:val="en-US" w:eastAsia="zh-CN"/>
              </w:rPr>
              <w:t xml:space="preserve"> 5.5 </w:t>
            </w:r>
            <w:r>
              <w:rPr>
                <w:rFonts w:hint="eastAsia" w:ascii="仿宋_GB2312" w:hAnsi="仿宋_GB2312" w:eastAsia="仿宋_GB2312" w:cs="仿宋_GB2312"/>
                <w:spacing w:val="5"/>
                <w:position w:val="-1"/>
                <w:sz w:val="28"/>
                <w:szCs w:val="28"/>
              </w:rPr>
              <w:t>万元</w:t>
            </w:r>
            <w:r>
              <w:rPr>
                <w:rFonts w:hint="eastAsia" w:ascii="仿宋_GB2312" w:hAnsi="仿宋_GB2312" w:eastAsia="仿宋_GB2312" w:cs="仿宋_GB2312"/>
                <w:spacing w:val="5"/>
                <w:position w:val="1"/>
                <w:sz w:val="28"/>
                <w:szCs w:val="28"/>
              </w:rPr>
              <w:t>（超过最高响应限价的报价按无效处理）</w:t>
            </w:r>
          </w:p>
        </w:tc>
      </w:tr>
      <w:tr w14:paraId="0BCA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jc w:val="center"/>
        </w:trPr>
        <w:tc>
          <w:tcPr>
            <w:tcW w:w="666" w:type="dxa"/>
            <w:vAlign w:val="center"/>
          </w:tcPr>
          <w:p w14:paraId="5246B9A6">
            <w:pPr>
              <w:pStyle w:val="8"/>
              <w:spacing w:before="91"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447" w:type="dxa"/>
            <w:vAlign w:val="center"/>
          </w:tcPr>
          <w:p w14:paraId="64A7D678">
            <w:pPr>
              <w:pStyle w:val="8"/>
              <w:spacing w:before="177" w:line="351" w:lineRule="auto"/>
              <w:ind w:right="719"/>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响应报价</w:t>
            </w:r>
          </w:p>
          <w:p w14:paraId="0C68C7B3">
            <w:pPr>
              <w:pStyle w:val="8"/>
              <w:spacing w:before="177" w:line="351" w:lineRule="auto"/>
              <w:ind w:right="71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（含税）</w:t>
            </w:r>
          </w:p>
        </w:tc>
        <w:tc>
          <w:tcPr>
            <w:tcW w:w="6226" w:type="dxa"/>
            <w:vAlign w:val="center"/>
          </w:tcPr>
          <w:p w14:paraId="303C0184">
            <w:pPr>
              <w:spacing w:line="392" w:lineRule="auto"/>
              <w:jc w:val="center"/>
              <w:rPr>
                <w:rFonts w:hint="eastAsia" w:ascii="仿宋_GB2312" w:hAnsi="仿宋_GB2312" w:eastAsia="仿宋_GB2312" w:cs="仿宋_GB2312"/>
                <w:sz w:val="28"/>
                <w:szCs w:val="28"/>
              </w:rPr>
            </w:pPr>
          </w:p>
          <w:p w14:paraId="11D34242">
            <w:pPr>
              <w:pStyle w:val="8"/>
              <w:spacing w:before="91" w:line="217" w:lineRule="auto"/>
              <w:ind w:left="476"/>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小写</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102"/>
                <w:sz w:val="28"/>
                <w:szCs w:val="28"/>
              </w:rPr>
              <w:t xml:space="preserve"> </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6"/>
                <w:sz w:val="28"/>
                <w:szCs w:val="28"/>
              </w:rPr>
              <w:t>大写：</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6"/>
                <w:sz w:val="28"/>
                <w:szCs w:val="28"/>
              </w:rPr>
              <w:t>。</w:t>
            </w:r>
          </w:p>
        </w:tc>
      </w:tr>
      <w:tr w14:paraId="36ED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666" w:type="dxa"/>
            <w:vAlign w:val="center"/>
          </w:tcPr>
          <w:p w14:paraId="46D520F3">
            <w:pPr>
              <w:pStyle w:val="8"/>
              <w:spacing w:before="213"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447" w:type="dxa"/>
            <w:vAlign w:val="center"/>
          </w:tcPr>
          <w:p w14:paraId="2BA58812">
            <w:pPr>
              <w:pStyle w:val="8"/>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增值税税率</w:t>
            </w:r>
          </w:p>
        </w:tc>
        <w:tc>
          <w:tcPr>
            <w:tcW w:w="6226" w:type="dxa"/>
            <w:vAlign w:val="center"/>
          </w:tcPr>
          <w:p w14:paraId="784D47EB">
            <w:pPr>
              <w:jc w:val="center"/>
              <w:rPr>
                <w:rFonts w:hint="eastAsia" w:ascii="仿宋_GB2312" w:hAnsi="仿宋_GB2312" w:eastAsia="仿宋_GB2312" w:cs="仿宋_GB2312"/>
                <w:sz w:val="28"/>
                <w:szCs w:val="28"/>
              </w:rPr>
            </w:pPr>
          </w:p>
        </w:tc>
      </w:tr>
      <w:tr w14:paraId="66B2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66" w:type="dxa"/>
            <w:vAlign w:val="center"/>
          </w:tcPr>
          <w:p w14:paraId="739B90B0">
            <w:pPr>
              <w:pStyle w:val="8"/>
              <w:spacing w:before="217"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447" w:type="dxa"/>
            <w:vAlign w:val="center"/>
          </w:tcPr>
          <w:p w14:paraId="4FC0EA8D">
            <w:pPr>
              <w:pStyle w:val="8"/>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响应供应商名称</w:t>
            </w:r>
          </w:p>
        </w:tc>
        <w:tc>
          <w:tcPr>
            <w:tcW w:w="6226" w:type="dxa"/>
            <w:vAlign w:val="center"/>
          </w:tcPr>
          <w:p w14:paraId="170CD972">
            <w:pPr>
              <w:jc w:val="center"/>
              <w:rPr>
                <w:rFonts w:hint="eastAsia" w:ascii="仿宋_GB2312" w:hAnsi="仿宋_GB2312" w:eastAsia="仿宋_GB2312" w:cs="仿宋_GB2312"/>
                <w:sz w:val="28"/>
                <w:szCs w:val="28"/>
              </w:rPr>
            </w:pPr>
          </w:p>
        </w:tc>
      </w:tr>
      <w:tr w14:paraId="2861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666" w:type="dxa"/>
            <w:vAlign w:val="center"/>
          </w:tcPr>
          <w:p w14:paraId="253D957B">
            <w:pPr>
              <w:pStyle w:val="8"/>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447" w:type="dxa"/>
            <w:vAlign w:val="center"/>
          </w:tcPr>
          <w:p w14:paraId="75C8804D">
            <w:pPr>
              <w:pStyle w:val="8"/>
              <w:spacing w:before="174" w:line="352" w:lineRule="auto"/>
              <w:ind w:right="15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工期/服务周期/供</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8"/>
                <w:sz w:val="28"/>
                <w:szCs w:val="28"/>
              </w:rPr>
              <w:t>货周期</w:t>
            </w:r>
          </w:p>
        </w:tc>
        <w:tc>
          <w:tcPr>
            <w:tcW w:w="6226" w:type="dxa"/>
            <w:vAlign w:val="center"/>
          </w:tcPr>
          <w:p w14:paraId="65A17225">
            <w:pPr>
              <w:pStyle w:val="8"/>
              <w:spacing w:before="91" w:line="224"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符合甲方要求</w:t>
            </w:r>
          </w:p>
        </w:tc>
      </w:tr>
      <w:tr w14:paraId="6CA1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10D3B11C">
            <w:pPr>
              <w:pStyle w:val="8"/>
              <w:spacing w:before="215"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447" w:type="dxa"/>
            <w:vAlign w:val="center"/>
          </w:tcPr>
          <w:p w14:paraId="40AEE45D">
            <w:pPr>
              <w:pStyle w:val="8"/>
              <w:spacing w:before="178" w:line="21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质保期（如需）</w:t>
            </w:r>
          </w:p>
        </w:tc>
        <w:tc>
          <w:tcPr>
            <w:tcW w:w="6226" w:type="dxa"/>
            <w:vAlign w:val="center"/>
          </w:tcPr>
          <w:p w14:paraId="239DE41D">
            <w:pPr>
              <w:pStyle w:val="8"/>
              <w:spacing w:before="176" w:line="216" w:lineRule="auto"/>
              <w:jc w:val="center"/>
              <w:rPr>
                <w:rFonts w:hint="default" w:ascii="仿宋_GB2312" w:hAnsi="仿宋_GB2312" w:eastAsia="仿宋_GB2312" w:cs="仿宋_GB2312"/>
                <w:sz w:val="28"/>
                <w:szCs w:val="28"/>
                <w:lang w:val="en-US" w:eastAsia="zh-CN"/>
              </w:rPr>
            </w:pPr>
          </w:p>
        </w:tc>
      </w:tr>
      <w:tr w14:paraId="16AF4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6" w:type="dxa"/>
            <w:vAlign w:val="center"/>
          </w:tcPr>
          <w:p w14:paraId="4A33C2CD">
            <w:pPr>
              <w:pStyle w:val="8"/>
              <w:spacing w:before="214"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10</w:t>
            </w:r>
          </w:p>
        </w:tc>
        <w:tc>
          <w:tcPr>
            <w:tcW w:w="2447" w:type="dxa"/>
            <w:vAlign w:val="center"/>
          </w:tcPr>
          <w:p w14:paraId="09B20CA1">
            <w:pPr>
              <w:pStyle w:val="8"/>
              <w:spacing w:before="178"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联系地址</w:t>
            </w:r>
          </w:p>
        </w:tc>
        <w:tc>
          <w:tcPr>
            <w:tcW w:w="6226" w:type="dxa"/>
            <w:vAlign w:val="center"/>
          </w:tcPr>
          <w:p w14:paraId="5DC070A5">
            <w:pPr>
              <w:jc w:val="center"/>
              <w:rPr>
                <w:rFonts w:hint="eastAsia" w:ascii="仿宋_GB2312" w:hAnsi="仿宋_GB2312" w:eastAsia="仿宋_GB2312" w:cs="仿宋_GB2312"/>
                <w:sz w:val="28"/>
                <w:szCs w:val="28"/>
              </w:rPr>
            </w:pPr>
          </w:p>
        </w:tc>
      </w:tr>
      <w:tr w14:paraId="5B44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666" w:type="dxa"/>
            <w:vAlign w:val="center"/>
          </w:tcPr>
          <w:p w14:paraId="0D8066AE">
            <w:pPr>
              <w:pStyle w:val="8"/>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11</w:t>
            </w:r>
          </w:p>
        </w:tc>
        <w:tc>
          <w:tcPr>
            <w:tcW w:w="2447" w:type="dxa"/>
            <w:vAlign w:val="center"/>
          </w:tcPr>
          <w:p w14:paraId="16804E21">
            <w:pPr>
              <w:pStyle w:val="8"/>
              <w:spacing w:before="91"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联系人及联系方式</w:t>
            </w:r>
          </w:p>
        </w:tc>
        <w:tc>
          <w:tcPr>
            <w:tcW w:w="6226" w:type="dxa"/>
            <w:vAlign w:val="center"/>
          </w:tcPr>
          <w:p w14:paraId="15DD3B48">
            <w:pPr>
              <w:jc w:val="center"/>
              <w:rPr>
                <w:rFonts w:hint="eastAsia" w:ascii="仿宋_GB2312" w:hAnsi="仿宋_GB2312" w:eastAsia="仿宋_GB2312" w:cs="仿宋_GB2312"/>
                <w:sz w:val="28"/>
                <w:szCs w:val="28"/>
              </w:rPr>
            </w:pPr>
          </w:p>
        </w:tc>
      </w:tr>
      <w:tr w14:paraId="4850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69F5C639">
            <w:pPr>
              <w:pStyle w:val="8"/>
              <w:spacing w:before="91" w:line="188" w:lineRule="auto"/>
              <w:jc w:val="center"/>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12</w:t>
            </w:r>
          </w:p>
        </w:tc>
        <w:tc>
          <w:tcPr>
            <w:tcW w:w="2447" w:type="dxa"/>
            <w:vAlign w:val="center"/>
          </w:tcPr>
          <w:p w14:paraId="4B69AD04">
            <w:pPr>
              <w:pStyle w:val="8"/>
              <w:spacing w:before="91" w:line="214" w:lineRule="auto"/>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7"/>
                <w:sz w:val="28"/>
                <w:szCs w:val="28"/>
              </w:rPr>
              <w:t>备注</w:t>
            </w:r>
          </w:p>
        </w:tc>
        <w:tc>
          <w:tcPr>
            <w:tcW w:w="6226" w:type="dxa"/>
            <w:vAlign w:val="center"/>
          </w:tcPr>
          <w:p w14:paraId="5F267F26">
            <w:pPr>
              <w:pStyle w:val="8"/>
              <w:spacing w:before="39" w:line="240" w:lineRule="auto"/>
              <w:ind w:left="120" w:right="36" w:firstLine="1"/>
              <w:jc w:val="left"/>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en-US"/>
              </w:rPr>
              <w:t>1.</w:t>
            </w:r>
            <w:r>
              <w:rPr>
                <w:rFonts w:hint="eastAsia" w:ascii="仿宋_GB2312" w:hAnsi="仿宋_GB2312" w:eastAsia="仿宋_GB2312" w:cs="仿宋_GB2312"/>
                <w:spacing w:val="-8"/>
                <w:sz w:val="28"/>
                <w:szCs w:val="28"/>
                <w:lang w:val="en-US" w:eastAsia="zh-CN"/>
              </w:rPr>
              <w:t>响应文件应附</w:t>
            </w:r>
            <w:r>
              <w:rPr>
                <w:rFonts w:hint="eastAsia" w:ascii="仿宋_GB2312" w:hAnsi="仿宋_GB2312" w:eastAsia="仿宋_GB2312" w:cs="仿宋_GB2312"/>
                <w:spacing w:val="-8"/>
                <w:sz w:val="28"/>
                <w:szCs w:val="28"/>
                <w:lang w:val="en-US" w:eastAsia="en-US"/>
              </w:rPr>
              <w:t>材料：</w:t>
            </w:r>
            <w:r>
              <w:rPr>
                <w:rFonts w:hint="eastAsia" w:ascii="仿宋_GB2312" w:hAnsi="仿宋_GB2312" w:eastAsia="仿宋_GB2312" w:cs="仿宋_GB2312"/>
                <w:spacing w:val="-8"/>
                <w:sz w:val="28"/>
                <w:szCs w:val="28"/>
                <w:lang w:val="en-US" w:eastAsia="zh-CN"/>
              </w:rPr>
              <w:t>附件1询价函、营业执照复印件、项目负责人职业资格证明材料复印件、业绩证明材料复印件、法定代表人身份证正反面复印件、授权委托书（如有）、授权代表身份证正反面复印件（如有）等。</w:t>
            </w:r>
          </w:p>
          <w:p w14:paraId="2F99CF09">
            <w:pPr>
              <w:pStyle w:val="8"/>
              <w:spacing w:before="39" w:line="240" w:lineRule="auto"/>
              <w:ind w:left="120" w:right="36" w:firstLine="1"/>
              <w:jc w:val="left"/>
              <w:rPr>
                <w:rFonts w:hint="eastAsia" w:ascii="仿宋_GB2312" w:hAnsi="仿宋_GB2312" w:eastAsia="仿宋_GB2312" w:cs="仿宋_GB2312"/>
                <w:spacing w:val="-8"/>
                <w:sz w:val="28"/>
                <w:szCs w:val="28"/>
                <w:lang w:val="en-US" w:eastAsia="en-US"/>
              </w:rPr>
            </w:pPr>
            <w:r>
              <w:rPr>
                <w:rFonts w:hint="eastAsia" w:ascii="仿宋_GB2312" w:hAnsi="仿宋_GB2312" w:eastAsia="仿宋_GB2312" w:cs="仿宋_GB2312"/>
                <w:spacing w:val="-8"/>
                <w:sz w:val="28"/>
                <w:szCs w:val="28"/>
                <w:lang w:val="en-US" w:eastAsia="zh-CN"/>
              </w:rPr>
              <w:t>注：以上材料均需提供复印件各一份并加盖公章。</w:t>
            </w:r>
          </w:p>
          <w:p w14:paraId="6337AFC8">
            <w:pPr>
              <w:pStyle w:val="8"/>
              <w:spacing w:before="39" w:line="240" w:lineRule="auto"/>
              <w:ind w:left="120" w:right="36" w:firstLine="1"/>
              <w:jc w:val="left"/>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2.总价或单价已包含但不限于材料费、人工费、制作费、</w:t>
            </w:r>
            <w:r>
              <w:rPr>
                <w:rFonts w:hint="eastAsia" w:ascii="仿宋_GB2312" w:hAnsi="仿宋_GB2312" w:eastAsia="仿宋_GB2312" w:cs="仿宋_GB2312"/>
                <w:spacing w:val="-2"/>
                <w:sz w:val="28"/>
                <w:szCs w:val="28"/>
              </w:rPr>
              <w:t>差旅费、税费及各种含税价外费用；</w:t>
            </w:r>
          </w:p>
          <w:p w14:paraId="2148CA9C">
            <w:pPr>
              <w:pStyle w:val="8"/>
              <w:spacing w:before="38" w:line="240" w:lineRule="auto"/>
              <w:ind w:left="119" w:right="107" w:firstLine="12"/>
              <w:jc w:val="left"/>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rPr>
              <w:t>3.响应资料递交要求：报价材料密封后邮寄至</w:t>
            </w:r>
            <w:r>
              <w:rPr>
                <w:rFonts w:hint="eastAsia" w:ascii="仿宋_GB2312" w:hAnsi="仿宋_GB2312" w:eastAsia="仿宋_GB2312" w:cs="仿宋_GB2312"/>
                <w:spacing w:val="-2"/>
                <w:sz w:val="28"/>
                <w:szCs w:val="28"/>
                <w:lang w:val="en-US" w:eastAsia="zh-CN"/>
              </w:rPr>
              <w:t>郑州市航空港区黄海路与梅河路交叉口西250米1号南楼11楼采购中心；</w:t>
            </w:r>
          </w:p>
          <w:p w14:paraId="6B919C84">
            <w:pPr>
              <w:pStyle w:val="8"/>
              <w:spacing w:before="38" w:line="240" w:lineRule="auto"/>
              <w:ind w:left="119" w:right="107" w:firstLine="1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5"/>
                <w:sz w:val="28"/>
                <w:szCs w:val="28"/>
              </w:rPr>
              <w:t>联系人：</w:t>
            </w:r>
            <w:r>
              <w:rPr>
                <w:rFonts w:hint="eastAsia" w:ascii="仿宋_GB2312" w:hAnsi="仿宋_GB2312" w:eastAsia="仿宋_GB2312" w:cs="仿宋_GB2312"/>
                <w:spacing w:val="-5"/>
                <w:sz w:val="28"/>
                <w:szCs w:val="28"/>
                <w:lang w:val="en-US" w:eastAsia="zh-CN"/>
              </w:rPr>
              <w:t>周</w:t>
            </w:r>
            <w:r>
              <w:rPr>
                <w:rFonts w:hint="eastAsia" w:ascii="仿宋_GB2312" w:hAnsi="仿宋_GB2312" w:eastAsia="仿宋_GB2312" w:cs="仿宋_GB2312"/>
                <w:spacing w:val="-5"/>
                <w:sz w:val="28"/>
                <w:szCs w:val="28"/>
              </w:rPr>
              <w:t>老师，电话：</w:t>
            </w:r>
            <w:r>
              <w:rPr>
                <w:rFonts w:hint="eastAsia" w:ascii="仿宋_GB2312" w:hAnsi="仿宋_GB2312" w:eastAsia="仿宋_GB2312" w:cs="仿宋_GB2312"/>
                <w:spacing w:val="-1"/>
                <w:sz w:val="28"/>
                <w:szCs w:val="28"/>
                <w:lang w:val="en-US" w:eastAsia="zh-CN"/>
              </w:rPr>
              <w:t>15736760426</w:t>
            </w:r>
            <w:r>
              <w:rPr>
                <w:rFonts w:hint="eastAsia" w:ascii="仿宋_GB2312" w:hAnsi="仿宋_GB2312" w:eastAsia="仿宋_GB2312" w:cs="仿宋_GB2312"/>
                <w:spacing w:val="-6"/>
                <w:sz w:val="28"/>
                <w:szCs w:val="28"/>
              </w:rPr>
              <w:t>递交截</w:t>
            </w:r>
            <w:r>
              <w:rPr>
                <w:rFonts w:hint="eastAsia" w:ascii="仿宋_GB2312" w:hAnsi="仿宋_GB2312" w:eastAsia="仿宋_GB2312" w:cs="仿宋_GB2312"/>
                <w:spacing w:val="-5"/>
                <w:sz w:val="28"/>
                <w:szCs w:val="28"/>
                <w:lang w:val="en-US" w:eastAsia="zh-CN"/>
              </w:rPr>
              <w:t>止时间为2026年1月16日中午12:00（以收到文件时间为准）；</w:t>
            </w:r>
            <w:bookmarkStart w:id="0" w:name="_GoBack"/>
            <w:bookmarkEnd w:id="0"/>
          </w:p>
          <w:p w14:paraId="6BF46BE9">
            <w:pPr>
              <w:pStyle w:val="8"/>
              <w:spacing w:before="44" w:line="240" w:lineRule="auto"/>
              <w:ind w:left="125"/>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5.成交规则：含税报价最低的供应商为成交供应商；</w:t>
            </w:r>
          </w:p>
          <w:p w14:paraId="11EFF11A">
            <w:pPr>
              <w:pStyle w:val="8"/>
              <w:spacing w:before="44" w:line="240" w:lineRule="auto"/>
              <w:ind w:left="125"/>
              <w:jc w:val="left"/>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6.</w:t>
            </w:r>
            <w:r>
              <w:rPr>
                <w:rFonts w:hint="eastAsia" w:ascii="仿宋_GB2312" w:hAnsi="仿宋_GB2312" w:eastAsia="仿宋_GB2312" w:cs="仿宋_GB2312"/>
                <w:spacing w:val="-1"/>
                <w:sz w:val="28"/>
                <w:szCs w:val="28"/>
              </w:rPr>
              <w:t>未</w:t>
            </w:r>
            <w:r>
              <w:rPr>
                <w:rFonts w:hint="eastAsia" w:ascii="仿宋_GB2312" w:hAnsi="仿宋_GB2312" w:eastAsia="仿宋_GB2312" w:cs="仿宋_GB2312"/>
                <w:spacing w:val="-1"/>
                <w:sz w:val="28"/>
                <w:szCs w:val="28"/>
                <w:lang w:val="en-US" w:eastAsia="zh-CN"/>
              </w:rPr>
              <w:t>密封</w:t>
            </w:r>
            <w:r>
              <w:rPr>
                <w:rFonts w:hint="eastAsia" w:ascii="仿宋_GB2312" w:hAnsi="仿宋_GB2312" w:eastAsia="仿宋_GB2312" w:cs="仿宋_GB2312"/>
                <w:spacing w:val="-1"/>
                <w:sz w:val="28"/>
                <w:szCs w:val="28"/>
              </w:rPr>
              <w:t>的文件不予接收、逾期递交的文件不予接收。</w:t>
            </w:r>
          </w:p>
        </w:tc>
      </w:tr>
    </w:tbl>
    <w:p w14:paraId="3A59BA54">
      <w:pPr>
        <w:spacing w:line="241"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报价人：（盖公章）</w:t>
      </w:r>
    </w:p>
    <w:p w14:paraId="15BAE1FE">
      <w:pPr>
        <w:pStyle w:val="3"/>
        <w:spacing w:before="91" w:line="216" w:lineRule="auto"/>
        <w:jc w:val="both"/>
        <w:rPr>
          <w:rFonts w:hint="eastAsia" w:ascii="仿宋_GB2312" w:hAnsi="仿宋_GB2312" w:eastAsia="仿宋_GB2312" w:cs="仿宋_GB2312"/>
          <w:spacing w:val="-16"/>
          <w:sz w:val="32"/>
          <w:szCs w:val="32"/>
          <w:lang w:val="en-US" w:eastAsia="zh-CN"/>
        </w:rPr>
      </w:pPr>
    </w:p>
    <w:p w14:paraId="41C61317">
      <w:pPr>
        <w:pStyle w:val="3"/>
        <w:spacing w:before="91" w:line="216" w:lineRule="auto"/>
        <w:jc w:val="both"/>
        <w:rPr>
          <w:rFonts w:hint="eastAsia" w:ascii="仿宋_GB2312" w:hAnsi="仿宋_GB2312" w:eastAsia="仿宋_GB2312" w:cs="仿宋_GB2312"/>
          <w:spacing w:val="-16"/>
          <w:sz w:val="32"/>
          <w:szCs w:val="32"/>
          <w:lang w:val="en-US" w:eastAsia="zh-CN"/>
        </w:rPr>
      </w:pPr>
    </w:p>
    <w:p w14:paraId="7D5B0AA0">
      <w:pPr>
        <w:pStyle w:val="3"/>
        <w:spacing w:before="91" w:line="216" w:lineRule="auto"/>
        <w:jc w:val="right"/>
      </w:pPr>
      <w:r>
        <w:rPr>
          <w:rFonts w:hint="eastAsia" w:ascii="仿宋_GB2312" w:hAnsi="仿宋_GB2312" w:eastAsia="仿宋_GB2312" w:cs="仿宋_GB2312"/>
          <w:spacing w:val="-16"/>
          <w:sz w:val="32"/>
          <w:szCs w:val="32"/>
          <w:lang w:val="en-US" w:eastAsia="zh-CN"/>
        </w:rPr>
        <w:t>日</w:t>
      </w:r>
      <w:r>
        <w:rPr>
          <w:rFonts w:hint="eastAsia" w:ascii="仿宋_GB2312" w:hAnsi="仿宋_GB2312" w:eastAsia="仿宋_GB2312" w:cs="仿宋_GB2312"/>
          <w:spacing w:val="-16"/>
          <w:sz w:val="32"/>
          <w:szCs w:val="32"/>
        </w:rPr>
        <w:t>期</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16"/>
          <w:sz w:val="32"/>
          <w:szCs w:val="32"/>
        </w:rPr>
        <w:t>2025</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16"/>
          <w:sz w:val="32"/>
          <w:szCs w:val="32"/>
        </w:rPr>
        <w:t>年</w:t>
      </w:r>
      <w:r>
        <w:rPr>
          <w:rFonts w:hint="eastAsia" w:ascii="仿宋_GB2312" w:hAnsi="仿宋_GB2312" w:eastAsia="仿宋_GB2312" w:cs="仿宋_GB2312"/>
          <w:spacing w:val="-16"/>
          <w:sz w:val="32"/>
          <w:szCs w:val="32"/>
          <w:lang w:val="en-US" w:eastAsia="zh-CN"/>
        </w:rPr>
        <w:t xml:space="preserve">   </w:t>
      </w:r>
      <w:r>
        <w:rPr>
          <w:rFonts w:hint="eastAsia" w:ascii="仿宋_GB2312" w:hAnsi="仿宋_GB2312" w:eastAsia="仿宋_GB2312" w:cs="仿宋_GB2312"/>
          <w:spacing w:val="-16"/>
          <w:sz w:val="32"/>
          <w:szCs w:val="32"/>
        </w:rPr>
        <w:t>月</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6"/>
          <w:sz w:val="32"/>
          <w:szCs w:val="32"/>
        </w:rPr>
        <w:t>日</w:t>
      </w:r>
    </w:p>
    <w:sectPr>
      <w:pgSz w:w="11906" w:h="16838"/>
      <w:pgMar w:top="1431" w:right="1350" w:bottom="0" w:left="13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FA4B16"/>
    <w:rsid w:val="07165F11"/>
    <w:rsid w:val="07C314FC"/>
    <w:rsid w:val="0AC86323"/>
    <w:rsid w:val="11540FF9"/>
    <w:rsid w:val="12651BC5"/>
    <w:rsid w:val="1AA255DC"/>
    <w:rsid w:val="1B1C0E18"/>
    <w:rsid w:val="1B9118D8"/>
    <w:rsid w:val="1D5A2648"/>
    <w:rsid w:val="1E1020F3"/>
    <w:rsid w:val="20CC5161"/>
    <w:rsid w:val="25B83C00"/>
    <w:rsid w:val="2AE15CAC"/>
    <w:rsid w:val="2C4A4D22"/>
    <w:rsid w:val="2DE87FE0"/>
    <w:rsid w:val="2FF65D56"/>
    <w:rsid w:val="30964F3A"/>
    <w:rsid w:val="3C947D15"/>
    <w:rsid w:val="3FB11C9A"/>
    <w:rsid w:val="41E77BF5"/>
    <w:rsid w:val="46D757C1"/>
    <w:rsid w:val="480C2163"/>
    <w:rsid w:val="5F5279A8"/>
    <w:rsid w:val="608E316A"/>
    <w:rsid w:val="608F65D3"/>
    <w:rsid w:val="64A508D8"/>
    <w:rsid w:val="66974E96"/>
    <w:rsid w:val="687E630D"/>
    <w:rsid w:val="6AD14E1A"/>
    <w:rsid w:val="704716DB"/>
    <w:rsid w:val="774F1878"/>
    <w:rsid w:val="7A232F28"/>
    <w:rsid w:val="7ADF46E3"/>
    <w:rsid w:val="7AF00FBF"/>
    <w:rsid w:val="7D2A6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sz w:val="20"/>
    </w:rPr>
  </w:style>
  <w:style w:type="paragraph" w:styleId="3">
    <w:name w:val="Body Text"/>
    <w:basedOn w:val="1"/>
    <w:semiHidden/>
    <w:qFormat/>
    <w:uiPriority w:val="0"/>
    <w:rPr>
      <w:rFonts w:ascii="FangSong_GB2312" w:hAnsi="FangSong_GB2312" w:eastAsia="FangSong_GB2312" w:cs="FangSong_GB2312"/>
      <w:sz w:val="28"/>
      <w:szCs w:val="28"/>
      <w:lang w:val="en-US" w:eastAsia="en-US" w:bidi="ar-SA"/>
    </w:rPr>
  </w:style>
  <w:style w:type="character" w:styleId="6">
    <w:name w:val="Hyperlink"/>
    <w:basedOn w:val="5"/>
    <w:qFormat/>
    <w:uiPriority w:val="0"/>
    <w:rPr>
      <w:color w:val="0000FF"/>
      <w:u w:val="single"/>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8"/>
      <w:szCs w:val="28"/>
      <w:lang w:val="en-US" w:eastAsia="en-US" w:bidi="ar-SA"/>
    </w:rPr>
  </w:style>
  <w:style w:type="paragraph" w:customStyle="1" w:styleId="9">
    <w:name w:val="无间隔1"/>
    <w:basedOn w:val="10"/>
    <w:next w:val="2"/>
    <w:qFormat/>
    <w:uiPriority w:val="0"/>
    <w:rPr>
      <w:szCs w:val="22"/>
    </w:rPr>
  </w:style>
  <w:style w:type="paragraph" w:customStyle="1" w:styleId="10">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742</Words>
  <Characters>784</Characters>
  <TotalTime>5</TotalTime>
  <ScaleCrop>false</ScaleCrop>
  <LinksUpToDate>false</LinksUpToDate>
  <CharactersWithSpaces>842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2025-03-24T11:09:00Z</dcterms:created>
  <dc:creator>小猪</dc:creator>
  <cp:lastModifiedBy>Mr.Zhou</cp:lastModifiedBy>
  <dcterms:modified xsi:type="dcterms:W3CDTF">2026-01-12T05:38:06Z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2025-11-07T14:19:12Z</vt:filetime>
  </property>
  <property fmtid="{D5CDD505-2E9C-101B-9397-08002B2CF9AE}" pid="4" name="KSOTemplateDocerSaveRecord">
    <vt:lpwstr>eyJoZGlkIjoiOWU5MzQ3ZTdjYzQ2ZjIxMDYxNGY3MGVlMWMzMDI2NWEiLCJ1c2VySWQiOiI4Nzk1NjY2NDMifQ==</vt:lpwstr>
  </property>
  <property fmtid="{D5CDD505-2E9C-101B-9397-08002B2CF9AE}" pid="5" name="KSOProductBuildVer">
    <vt:lpwstr>2052-12.1.0.24034</vt:lpwstr>
  </property>
  <property fmtid="{D5CDD505-2E9C-101B-9397-08002B2CF9AE}" pid="6" name="ICV">
    <vt:lpwstr>404C17582F054FA99FD800B5B3B8E4F5_12</vt:lpwstr>
  </property>
</Properties>
</file>