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ind w:left="480"/>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74F67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rPr>
        <w:t>海马新能源汽车有限公司数智化工厂技术改造</w:t>
      </w:r>
    </w:p>
    <w:p w14:paraId="057DA1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rPr>
        <w:t>安全技术咨询服务采购项目</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rPr>
        <w:t>询价函</w:t>
      </w:r>
    </w:p>
    <w:tbl>
      <w:tblPr>
        <w:tblStyle w:val="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509"/>
        <w:gridCol w:w="6026"/>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6" w:type="dxa"/>
            <w:vAlign w:val="center"/>
          </w:tcPr>
          <w:p w14:paraId="0FA31D42">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09" w:type="dxa"/>
            <w:vAlign w:val="center"/>
          </w:tcPr>
          <w:p w14:paraId="63B5C5CF">
            <w:pPr>
              <w:pStyle w:val="7"/>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6026" w:type="dxa"/>
            <w:vAlign w:val="center"/>
          </w:tcPr>
          <w:p w14:paraId="2FD884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海马新能源汽车有限公司数智化工厂技术改造安全技术咨询服务采购项目</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7"/>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09" w:type="dxa"/>
            <w:vAlign w:val="center"/>
          </w:tcPr>
          <w:p w14:paraId="0BFAB9B6">
            <w:pPr>
              <w:pStyle w:val="7"/>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6026" w:type="dxa"/>
            <w:vAlign w:val="center"/>
          </w:tcPr>
          <w:p w14:paraId="1874BE40">
            <w:pPr>
              <w:pStyle w:val="8"/>
              <w:rPr>
                <w:rFonts w:hint="eastAsia" w:ascii="仿宋_GB2312" w:hAnsi="仿宋_GB2312" w:eastAsia="仿宋_GB2312" w:cs="仿宋_GB2312"/>
                <w:snapToGrid w:val="0"/>
                <w:color w:val="000000"/>
                <w:spacing w:val="9"/>
                <w:kern w:val="0"/>
                <w:sz w:val="28"/>
                <w:szCs w:val="28"/>
                <w:lang w:val="en-US" w:eastAsia="zh-CN" w:bidi="ar-SA"/>
              </w:rPr>
            </w:pPr>
            <w:r>
              <w:rPr>
                <w:rFonts w:hint="eastAsia" w:ascii="仿宋_GB2312" w:hAnsi="仿宋_GB2312" w:eastAsia="仿宋_GB2312" w:cs="仿宋_GB2312"/>
                <w:snapToGrid w:val="0"/>
                <w:color w:val="000000"/>
                <w:spacing w:val="9"/>
                <w:kern w:val="0"/>
                <w:sz w:val="28"/>
                <w:szCs w:val="28"/>
                <w:lang w:val="en-US" w:eastAsia="zh-CN" w:bidi="ar-SA"/>
              </w:rPr>
              <w:t>（1）安全预评价：包含但不限于报告书的编制、组织专家评审会并通过评审；资料提供：PDF电子版1份，书面盖章版报告书10份。</w:t>
            </w:r>
          </w:p>
          <w:p w14:paraId="63C7DC14">
            <w:pPr>
              <w:pStyle w:val="8"/>
              <w:rPr>
                <w:rFonts w:hint="default" w:ascii="仿宋_GB2312" w:hAnsi="仿宋_GB2312" w:eastAsia="仿宋_GB2312" w:cs="仿宋_GB2312"/>
                <w:snapToGrid w:val="0"/>
                <w:color w:val="000000"/>
                <w:spacing w:val="9"/>
                <w:kern w:val="0"/>
                <w:sz w:val="28"/>
                <w:szCs w:val="28"/>
                <w:lang w:val="en-US" w:eastAsia="zh-CN" w:bidi="ar-SA"/>
              </w:rPr>
            </w:pPr>
            <w:r>
              <w:rPr>
                <w:rFonts w:hint="eastAsia" w:ascii="仿宋_GB2312" w:hAnsi="仿宋_GB2312" w:eastAsia="仿宋_GB2312" w:cs="仿宋_GB2312"/>
                <w:snapToGrid w:val="0"/>
                <w:color w:val="000000"/>
                <w:spacing w:val="9"/>
                <w:kern w:val="0"/>
                <w:sz w:val="28"/>
                <w:szCs w:val="28"/>
                <w:lang w:val="en-US" w:eastAsia="zh-CN" w:bidi="ar-SA"/>
              </w:rPr>
              <w:t>（2）安全设施设计专篇：包含但不限于安全设施设计专篇报告的编制，组织专家评审并通过评审；资料提供：PDF电子版1份，书面盖章版报告书10份。</w:t>
            </w:r>
          </w:p>
          <w:p w14:paraId="4193B2DA">
            <w:pPr>
              <w:pStyle w:val="8"/>
              <w:rPr>
                <w:rFonts w:hint="default" w:ascii="仿宋_GB2312" w:hAnsi="仿宋_GB2312" w:eastAsia="仿宋_GB2312" w:cs="仿宋_GB2312"/>
                <w:snapToGrid w:val="0"/>
                <w:color w:val="000000"/>
                <w:spacing w:val="9"/>
                <w:kern w:val="0"/>
                <w:sz w:val="28"/>
                <w:szCs w:val="28"/>
                <w:lang w:val="en-US" w:eastAsia="zh-CN" w:bidi="ar-SA"/>
              </w:rPr>
            </w:pPr>
            <w:r>
              <w:rPr>
                <w:rFonts w:hint="eastAsia" w:ascii="仿宋_GB2312" w:hAnsi="仿宋_GB2312" w:eastAsia="仿宋_GB2312" w:cs="仿宋_GB2312"/>
                <w:snapToGrid w:val="0"/>
                <w:color w:val="000000"/>
                <w:spacing w:val="9"/>
                <w:kern w:val="0"/>
                <w:sz w:val="28"/>
                <w:szCs w:val="28"/>
                <w:lang w:val="en-US" w:eastAsia="zh-CN" w:bidi="ar-SA"/>
              </w:rPr>
              <w:t>（3）安全验收评价：包含但不限于梳理项目资料、建设匹配度、安全设备设施的性能、体系运行情况等，通过安全验收；资料提供：PDF电子版1份，书面盖章版10份。</w:t>
            </w:r>
          </w:p>
          <w:p w14:paraId="6A96699F">
            <w:pPr>
              <w:pStyle w:val="8"/>
              <w:rPr>
                <w:rFonts w:hint="eastAsia" w:ascii="仿宋_GB2312" w:hAnsi="仿宋_GB2312" w:eastAsia="仿宋_GB2312" w:cs="仿宋_GB2312"/>
                <w:snapToGrid w:val="0"/>
                <w:color w:val="000000"/>
                <w:spacing w:val="9"/>
                <w:kern w:val="0"/>
                <w:sz w:val="28"/>
                <w:szCs w:val="28"/>
                <w:lang w:val="en-US" w:eastAsia="zh-CN" w:bidi="ar-SA"/>
              </w:rPr>
            </w:pPr>
            <w:r>
              <w:rPr>
                <w:rFonts w:hint="eastAsia" w:ascii="仿宋_GB2312" w:hAnsi="仿宋_GB2312" w:eastAsia="仿宋_GB2312" w:cs="仿宋_GB2312"/>
                <w:snapToGrid w:val="0"/>
                <w:color w:val="000000"/>
                <w:spacing w:val="9"/>
                <w:kern w:val="0"/>
                <w:sz w:val="28"/>
                <w:szCs w:val="28"/>
                <w:lang w:val="en-US" w:eastAsia="zh-CN" w:bidi="ar-SA"/>
              </w:rPr>
              <w:t>（4）应急预案编制：包含但不限于编制综合应急预案、专项应急预案（含电池火灾、高压触电、化学品泄漏等场景）及现场处置方案；提供PDF电子版1份，书面版10份。</w:t>
            </w:r>
          </w:p>
          <w:p w14:paraId="75ECBFA6">
            <w:pPr>
              <w:pStyle w:val="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napToGrid w:val="0"/>
                <w:color w:val="000000"/>
                <w:spacing w:val="9"/>
                <w:kern w:val="0"/>
                <w:sz w:val="28"/>
                <w:szCs w:val="28"/>
                <w:lang w:val="en-US" w:eastAsia="zh-CN" w:bidi="ar-SA"/>
              </w:rPr>
              <w:t>（5）双预防体系编制：包含但不限于划分风险单元、建立风险清单、制定风险分级标准、明确各等级风险管控责任主体与基本管控要求等内容；资料提供：PDF电子版1份，书面版10份。</w:t>
            </w:r>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7"/>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09" w:type="dxa"/>
            <w:vAlign w:val="center"/>
          </w:tcPr>
          <w:p w14:paraId="2E8F4CC0">
            <w:pPr>
              <w:pStyle w:val="7"/>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6026" w:type="dxa"/>
            <w:vAlign w:val="center"/>
          </w:tcPr>
          <w:p w14:paraId="2041753F">
            <w:pPr>
              <w:pStyle w:val="7"/>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09" w:type="dxa"/>
            <w:vAlign w:val="center"/>
          </w:tcPr>
          <w:p w14:paraId="024B34E4">
            <w:pPr>
              <w:pStyle w:val="7"/>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6026" w:type="dxa"/>
            <w:vAlign w:val="center"/>
          </w:tcPr>
          <w:p w14:paraId="2BAF5D80">
            <w:pPr>
              <w:pStyle w:val="7"/>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lang w:val="en-US" w:eastAsia="zh-CN"/>
              </w:rPr>
              <w:t>8.2</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666" w:type="dxa"/>
            <w:vAlign w:val="center"/>
          </w:tcPr>
          <w:p w14:paraId="5246B9A6">
            <w:pPr>
              <w:pStyle w:val="7"/>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09" w:type="dxa"/>
            <w:vAlign w:val="center"/>
          </w:tcPr>
          <w:p w14:paraId="64A7D678">
            <w:pPr>
              <w:pStyle w:val="7"/>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7"/>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6026"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7"/>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46D520F3">
            <w:pPr>
              <w:pStyle w:val="7"/>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09" w:type="dxa"/>
            <w:vAlign w:val="center"/>
          </w:tcPr>
          <w:p w14:paraId="2BA58812">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6026"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739B90B0">
            <w:pPr>
              <w:pStyle w:val="7"/>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09" w:type="dxa"/>
            <w:vAlign w:val="center"/>
          </w:tcPr>
          <w:p w14:paraId="4FC0EA8D">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6026"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253D957B">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09" w:type="dxa"/>
            <w:vAlign w:val="center"/>
          </w:tcPr>
          <w:p w14:paraId="75C8804D">
            <w:pPr>
              <w:pStyle w:val="7"/>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6026" w:type="dxa"/>
            <w:vAlign w:val="center"/>
          </w:tcPr>
          <w:p w14:paraId="65A17225">
            <w:pPr>
              <w:pStyle w:val="7"/>
              <w:spacing w:before="91" w:line="224" w:lineRule="auto"/>
              <w:jc w:val="center"/>
              <w:rPr>
                <w:rFonts w:hint="eastAsia" w:ascii="仿宋_GB2312" w:hAnsi="仿宋_GB2312" w:eastAsia="仿宋_GB2312" w:cs="仿宋_GB2312"/>
                <w:sz w:val="28"/>
                <w:szCs w:val="28"/>
              </w:rPr>
            </w:pP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7"/>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09" w:type="dxa"/>
            <w:vAlign w:val="center"/>
          </w:tcPr>
          <w:p w14:paraId="40AEE45D">
            <w:pPr>
              <w:pStyle w:val="7"/>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6026" w:type="dxa"/>
            <w:vAlign w:val="center"/>
          </w:tcPr>
          <w:p w14:paraId="239DE41D">
            <w:pPr>
              <w:pStyle w:val="7"/>
              <w:spacing w:before="176" w:line="216" w:lineRule="auto"/>
              <w:jc w:val="center"/>
              <w:rPr>
                <w:rFonts w:hint="eastAsia" w:ascii="仿宋_GB2312" w:hAnsi="仿宋_GB2312" w:eastAsia="仿宋_GB2312" w:cs="仿宋_GB2312"/>
                <w:sz w:val="28"/>
                <w:szCs w:val="28"/>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7"/>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509" w:type="dxa"/>
            <w:vAlign w:val="center"/>
          </w:tcPr>
          <w:p w14:paraId="09B20CA1">
            <w:pPr>
              <w:pStyle w:val="7"/>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6026"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0D8066AE">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509" w:type="dxa"/>
            <w:vAlign w:val="center"/>
          </w:tcPr>
          <w:p w14:paraId="16804E21">
            <w:pPr>
              <w:pStyle w:val="7"/>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6026"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7"/>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509" w:type="dxa"/>
            <w:vAlign w:val="center"/>
          </w:tcPr>
          <w:p w14:paraId="4B69AD04">
            <w:pPr>
              <w:pStyle w:val="7"/>
              <w:spacing w:before="39" w:line="324" w:lineRule="auto"/>
              <w:ind w:left="120" w:right="36" w:firstLine="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备注</w:t>
            </w:r>
          </w:p>
        </w:tc>
        <w:tc>
          <w:tcPr>
            <w:tcW w:w="6026" w:type="dxa"/>
            <w:vAlign w:val="center"/>
          </w:tcPr>
          <w:p w14:paraId="06FBAAD1">
            <w:pPr>
              <w:pStyle w:val="7"/>
              <w:spacing w:before="39" w:line="324" w:lineRule="auto"/>
              <w:ind w:left="120" w:right="36" w:firstLine="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w:t>
            </w:r>
            <w:r>
              <w:rPr>
                <w:rFonts w:hint="eastAsia" w:ascii="仿宋_GB2312" w:hAnsi="仿宋_GB2312" w:eastAsia="仿宋_GB2312" w:cs="仿宋_GB2312"/>
                <w:spacing w:val="-8"/>
                <w:sz w:val="28"/>
                <w:szCs w:val="28"/>
                <w:lang w:val="en-US" w:eastAsia="zh-CN"/>
              </w:rPr>
              <w:t>报价应附材料要求：响应文件应附分项报价单明细（格式自拟）、营业执照、业绩证明材料、法定代表人身份证、授权委托书、授权代表身份证（如有）等复印件各一份并加盖公章；</w:t>
            </w:r>
          </w:p>
          <w:p w14:paraId="6337AFC8">
            <w:pPr>
              <w:pStyle w:val="7"/>
              <w:spacing w:before="39" w:line="324" w:lineRule="auto"/>
              <w:ind w:left="120" w:right="36" w:firstLine="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2.总价或单价已包含但不限于材料费、人工费、制作费、差旅费、税费及各种含税价外费用；</w:t>
            </w:r>
          </w:p>
          <w:p w14:paraId="2148CA9C">
            <w:pPr>
              <w:pStyle w:val="7"/>
              <w:spacing w:before="39" w:line="324" w:lineRule="auto"/>
              <w:ind w:left="120" w:right="36" w:firstLine="1"/>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rPr>
              <w:t>3.响应资料递交要求：报价材料密封后邮寄至</w:t>
            </w:r>
            <w:r>
              <w:rPr>
                <w:rFonts w:hint="eastAsia" w:ascii="仿宋_GB2312" w:hAnsi="仿宋_GB2312" w:eastAsia="仿宋_GB2312" w:cs="仿宋_GB2312"/>
                <w:spacing w:val="-8"/>
                <w:sz w:val="28"/>
                <w:szCs w:val="28"/>
                <w:lang w:val="en-US" w:eastAsia="zh-CN"/>
              </w:rPr>
              <w:t>郑州市航空港区黄海路与梅河路交叉口西250米1号南楼11楼采购中心；</w:t>
            </w:r>
          </w:p>
          <w:p w14:paraId="6B919C84">
            <w:pPr>
              <w:pStyle w:val="7"/>
              <w:spacing w:before="39" w:line="324" w:lineRule="auto"/>
              <w:ind w:left="120" w:right="36" w:firstLine="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4.</w:t>
            </w:r>
            <w:r>
              <w:rPr>
                <w:rFonts w:hint="eastAsia" w:ascii="仿宋_GB2312" w:hAnsi="仿宋_GB2312" w:eastAsia="仿宋_GB2312" w:cs="仿宋_GB2312"/>
                <w:spacing w:val="-8"/>
                <w:sz w:val="28"/>
                <w:szCs w:val="28"/>
              </w:rPr>
              <w:t>联系人：</w:t>
            </w:r>
            <w:r>
              <w:rPr>
                <w:rFonts w:hint="eastAsia" w:ascii="仿宋_GB2312" w:hAnsi="仿宋_GB2312" w:eastAsia="仿宋_GB2312" w:cs="仿宋_GB2312"/>
                <w:spacing w:val="-8"/>
                <w:sz w:val="28"/>
                <w:szCs w:val="28"/>
                <w:lang w:val="en-US" w:eastAsia="zh-CN"/>
              </w:rPr>
              <w:t>周</w:t>
            </w:r>
            <w:r>
              <w:rPr>
                <w:rFonts w:hint="eastAsia" w:ascii="仿宋_GB2312" w:hAnsi="仿宋_GB2312" w:eastAsia="仿宋_GB2312" w:cs="仿宋_GB2312"/>
                <w:spacing w:val="-8"/>
                <w:sz w:val="28"/>
                <w:szCs w:val="28"/>
              </w:rPr>
              <w:t>老师，电话：</w:t>
            </w:r>
            <w:r>
              <w:rPr>
                <w:rFonts w:hint="eastAsia" w:ascii="仿宋_GB2312" w:hAnsi="仿宋_GB2312" w:eastAsia="仿宋_GB2312" w:cs="仿宋_GB2312"/>
                <w:spacing w:val="-8"/>
                <w:sz w:val="28"/>
                <w:szCs w:val="28"/>
                <w:lang w:val="en-US" w:eastAsia="zh-CN"/>
              </w:rPr>
              <w:t>15736760426</w:t>
            </w:r>
            <w:r>
              <w:rPr>
                <w:rFonts w:hint="eastAsia" w:ascii="仿宋_GB2312" w:hAnsi="仿宋_GB2312" w:eastAsia="仿宋_GB2312" w:cs="仿宋_GB2312"/>
                <w:spacing w:val="-8"/>
                <w:sz w:val="28"/>
                <w:szCs w:val="28"/>
              </w:rPr>
              <w:t>递交截</w:t>
            </w:r>
            <w:r>
              <w:rPr>
                <w:rFonts w:hint="eastAsia" w:ascii="仿宋_GB2312" w:hAnsi="仿宋_GB2312" w:eastAsia="仿宋_GB2312" w:cs="仿宋_GB2312"/>
                <w:spacing w:val="-8"/>
                <w:sz w:val="28"/>
                <w:szCs w:val="28"/>
                <w:lang w:val="en-US" w:eastAsia="zh-CN"/>
              </w:rPr>
              <w:t>止时间为 2025 年 12 月 10</w:t>
            </w:r>
            <w:bookmarkStart w:id="0" w:name="_GoBack"/>
            <w:bookmarkEnd w:id="0"/>
            <w:r>
              <w:rPr>
                <w:rFonts w:hint="eastAsia" w:ascii="仿宋_GB2312" w:hAnsi="仿宋_GB2312" w:eastAsia="仿宋_GB2312" w:cs="仿宋_GB2312"/>
                <w:spacing w:val="-8"/>
                <w:sz w:val="28"/>
                <w:szCs w:val="28"/>
                <w:lang w:val="en-US" w:eastAsia="zh-CN"/>
              </w:rPr>
              <w:t xml:space="preserve"> 日下午14:00（以收到文件时间为准）；</w:t>
            </w:r>
          </w:p>
          <w:p w14:paraId="6BF46BE9">
            <w:pPr>
              <w:pStyle w:val="7"/>
              <w:spacing w:before="39" w:line="324" w:lineRule="auto"/>
              <w:ind w:left="120" w:right="36" w:firstLine="1"/>
              <w:jc w:val="left"/>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5.成交规则：含税报价最低的供应商为成交供应商；</w:t>
            </w:r>
          </w:p>
          <w:p w14:paraId="11EFF11A">
            <w:pPr>
              <w:pStyle w:val="7"/>
              <w:spacing w:before="39" w:line="324" w:lineRule="auto"/>
              <w:ind w:left="120" w:right="36" w:firstLine="1"/>
              <w:jc w:val="left"/>
              <w:rPr>
                <w:rFonts w:hint="default"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6.</w:t>
            </w:r>
            <w:r>
              <w:rPr>
                <w:rFonts w:hint="eastAsia" w:ascii="仿宋_GB2312" w:hAnsi="仿宋_GB2312" w:eastAsia="仿宋_GB2312" w:cs="仿宋_GB2312"/>
                <w:spacing w:val="-8"/>
                <w:sz w:val="28"/>
                <w:szCs w:val="28"/>
              </w:rPr>
              <w:t>未</w:t>
            </w:r>
            <w:r>
              <w:rPr>
                <w:rFonts w:hint="eastAsia" w:ascii="仿宋_GB2312" w:hAnsi="仿宋_GB2312" w:eastAsia="仿宋_GB2312" w:cs="仿宋_GB2312"/>
                <w:spacing w:val="-8"/>
                <w:sz w:val="28"/>
                <w:szCs w:val="28"/>
                <w:lang w:val="en-US" w:eastAsia="zh-CN"/>
              </w:rPr>
              <w:t>密封</w:t>
            </w:r>
            <w:r>
              <w:rPr>
                <w:rFonts w:hint="eastAsia" w:ascii="仿宋_GB2312" w:hAnsi="仿宋_GB2312" w:eastAsia="仿宋_GB2312" w:cs="仿宋_GB2312"/>
                <w:spacing w:val="-8"/>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3"/>
        <w:spacing w:before="91" w:line="216" w:lineRule="auto"/>
        <w:jc w:val="both"/>
        <w:rPr>
          <w:rFonts w:hint="eastAsia" w:ascii="仿宋_GB2312" w:hAnsi="仿宋_GB2312" w:eastAsia="仿宋_GB2312" w:cs="仿宋_GB2312"/>
          <w:spacing w:val="-16"/>
          <w:sz w:val="32"/>
          <w:szCs w:val="32"/>
          <w:lang w:val="en-US" w:eastAsia="zh-CN"/>
        </w:rPr>
      </w:pPr>
    </w:p>
    <w:p w14:paraId="4A9DAF38">
      <w:pPr>
        <w:pStyle w:val="3"/>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3"/>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3"/>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24AF7"/>
    <w:rsid w:val="11540FF9"/>
    <w:rsid w:val="12651BC5"/>
    <w:rsid w:val="132A7574"/>
    <w:rsid w:val="19AE12CD"/>
    <w:rsid w:val="1B1C0E18"/>
    <w:rsid w:val="1C80194D"/>
    <w:rsid w:val="1E1020F3"/>
    <w:rsid w:val="20CC5161"/>
    <w:rsid w:val="2C4A4D22"/>
    <w:rsid w:val="2FF65D56"/>
    <w:rsid w:val="31D84805"/>
    <w:rsid w:val="35812566"/>
    <w:rsid w:val="37983B97"/>
    <w:rsid w:val="3D30067F"/>
    <w:rsid w:val="4E835DF0"/>
    <w:rsid w:val="65BD2897"/>
    <w:rsid w:val="660B3602"/>
    <w:rsid w:val="66974E96"/>
    <w:rsid w:val="673B33B6"/>
    <w:rsid w:val="6B251DCB"/>
    <w:rsid w:val="72DF6103"/>
    <w:rsid w:val="7A0A5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sz w:val="20"/>
    </w:rPr>
  </w:style>
  <w:style w:type="paragraph" w:styleId="3">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 w:type="paragraph" w:customStyle="1" w:styleId="8">
    <w:name w:val="无间隔1"/>
    <w:basedOn w:val="9"/>
    <w:next w:val="2"/>
    <w:qFormat/>
    <w:uiPriority w:val="0"/>
    <w:rPr>
      <w:szCs w:val="22"/>
    </w:rPr>
  </w:style>
  <w:style w:type="paragraph" w:customStyle="1" w:styleId="9">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832</Words>
  <Characters>882</Characters>
  <TotalTime>0</TotalTime>
  <ScaleCrop>false</ScaleCrop>
  <LinksUpToDate>false</LinksUpToDate>
  <CharactersWithSpaces>938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2025-12-05T08:01:57Z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eyJoZGlkIjoiYmJiODA3N2FlMjMwNWE2NjQwN2MzMDZmMWY4NDg2NDIiLCJ1c2VySWQiOiI4Nzk1NjY2NDMifQ==</vt:lpwstr>
  </property>
  <property fmtid="{D5CDD505-2E9C-101B-9397-08002B2CF9AE}" pid="5" name="KSOProductBuildVer">
    <vt:lpwstr>2052-12.1.0.23542</vt:lpwstr>
  </property>
  <property fmtid="{D5CDD505-2E9C-101B-9397-08002B2CF9AE}" pid="6" name="ICV">
    <vt:lpwstr>404C17582F054FA99FD800B5B3B8E4F5_12</vt:lpwstr>
  </property>
</Properties>
</file>