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E1632F">
      <w:pPr>
        <w:pStyle w:val="10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both"/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9"/>
          <w:kern w:val="0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9"/>
          <w:kern w:val="0"/>
          <w:sz w:val="32"/>
          <w:szCs w:val="32"/>
          <w:lang w:val="en-US" w:eastAsia="zh-CN" w:bidi="ar-SA"/>
        </w:rPr>
        <w:t>附件2：</w:t>
      </w:r>
    </w:p>
    <w:p w14:paraId="2076032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0"/>
        <w:jc w:val="center"/>
        <w:textAlignment w:val="baseline"/>
        <w:rPr>
          <w:rFonts w:hint="default" w:ascii="方正小标宋简体" w:hAnsi="方正小标宋简体" w:eastAsia="方正小标宋简体" w:cs="方正小标宋简体"/>
          <w:snapToGrid w:val="0"/>
          <w:color w:val="000000"/>
          <w:spacing w:val="9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9"/>
          <w:kern w:val="0"/>
          <w:sz w:val="32"/>
          <w:szCs w:val="32"/>
          <w:lang w:val="en-US" w:eastAsia="zh-CN"/>
        </w:rPr>
        <w:t>海马新能源汽车有限公司冲焊总装物流器具采购项目</w:t>
      </w:r>
    </w:p>
    <w:p w14:paraId="3DA15D5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0"/>
        <w:jc w:val="center"/>
        <w:textAlignment w:val="baseline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555555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9"/>
          <w:kern w:val="0"/>
          <w:sz w:val="32"/>
          <w:szCs w:val="32"/>
          <w:lang w:val="en-US" w:eastAsia="zh-CN"/>
        </w:rPr>
        <w:t>分项报价明细表</w:t>
      </w:r>
    </w:p>
    <w:p w14:paraId="5C851E66">
      <w:pPr>
        <w:rPr>
          <w:rFonts w:hint="eastAsia" w:ascii="宋体" w:hAnsi="宋体" w:eastAsia="宋体" w:cs="宋体"/>
          <w:b/>
          <w:bCs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</w:p>
    <w:p w14:paraId="3A35E643">
      <w:pPr>
        <w:pStyle w:val="6"/>
        <w:numPr>
          <w:ilvl w:val="0"/>
          <w:numId w:val="0"/>
        </w:numPr>
        <w:spacing w:line="560" w:lineRule="exact"/>
        <w:jc w:val="center"/>
        <w:rPr>
          <w:rFonts w:hint="default" w:ascii="Times New Roman" w:hAnsi="Times New Roman" w:eastAsia="宋体" w:cs="Times New Roman"/>
          <w:strike w:val="0"/>
          <w:dstrike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微软雅黑"/>
          <w:kern w:val="2"/>
          <w:sz w:val="32"/>
          <w:szCs w:val="32"/>
          <w:lang w:val="en-US" w:eastAsia="zh-CN" w:bidi="ar-SA"/>
        </w:rPr>
        <w:t>（一）料架</w:t>
      </w:r>
      <w:r>
        <w:rPr>
          <w:rFonts w:hint="eastAsia" w:ascii="宋体" w:hAnsi="宋体" w:eastAsia="宋体" w:cs="微软雅黑"/>
          <w:sz w:val="32"/>
          <w:szCs w:val="32"/>
          <w:lang w:val="en-US" w:eastAsia="zh-CN"/>
        </w:rPr>
        <w:t>清单</w:t>
      </w:r>
    </w:p>
    <w:p w14:paraId="21B79DEB">
      <w:pPr>
        <w:rPr>
          <w:rFonts w:hint="eastAsia" w:ascii="宋体" w:hAnsi="宋体" w:eastAsia="宋体" w:cs="宋体"/>
          <w:b/>
          <w:bCs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</w:p>
    <w:p w14:paraId="31E89FF4">
      <w:pPr>
        <w:rPr>
          <w:rFonts w:hint="eastAsia" w:ascii="宋体" w:hAnsi="宋体" w:eastAsia="宋体" w:cs="宋体"/>
          <w:b/>
          <w:bCs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第1批料架清单</w:t>
      </w:r>
    </w:p>
    <w:p w14:paraId="41ADDAC1">
      <w:pPr>
        <w:rPr>
          <w:rFonts w:hint="eastAsia" w:ascii="宋体" w:hAnsi="宋体" w:eastAsia="宋体" w:cs="宋体"/>
          <w:b/>
          <w:bCs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</w:p>
    <w:tbl>
      <w:tblPr>
        <w:tblStyle w:val="11"/>
        <w:tblW w:w="5306" w:type="pct"/>
        <w:tblInd w:w="-3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1949"/>
        <w:gridCol w:w="1945"/>
        <w:gridCol w:w="731"/>
        <w:gridCol w:w="1013"/>
        <w:gridCol w:w="1199"/>
        <w:gridCol w:w="1780"/>
      </w:tblGrid>
      <w:tr w14:paraId="703F6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B7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86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料架名称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C1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零件名称/规格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E0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制作数量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6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含税单价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FA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含税小计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F6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105F8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4B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FA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左侧围周转料架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A9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左侧围外板总成</w:t>
            </w:r>
          </w:p>
        </w:tc>
        <w:tc>
          <w:tcPr>
            <w:tcW w:w="4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C4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6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07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12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908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30E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A4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3D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右侧围周转料架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7B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右侧围外板总成</w:t>
            </w:r>
          </w:p>
        </w:tc>
        <w:tc>
          <w:tcPr>
            <w:tcW w:w="4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954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25D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791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EB1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62B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C8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45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顶盖周转料架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9D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顶盖板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F5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D5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88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570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669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A2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5F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左前门外板周转料架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FD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左前门外板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F6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5E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97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270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E28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FC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EB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左后门外板周转料架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DE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左后门外板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95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A3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3A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03D4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910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BA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46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左前门内板周转料架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86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左前门内板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C7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A3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E1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873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4C5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98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2F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右前门内板周转料架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BD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右前门内板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5D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27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69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0A0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2CF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CB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08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右前门外板周转料架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64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右前门外板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EB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0D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AC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E147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E88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A3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A6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右后门外板周转料架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32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右后门外板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FC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5F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F2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1D6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109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39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C6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左后门内板周转料架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B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左后门内板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0C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B4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98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B07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44A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60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C7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右后门内板周转料架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1C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右后门内板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0E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DF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20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AC4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FFA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1D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33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发动机罩外板周转料架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CD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发动机罩外板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AC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72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2A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C20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C502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00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20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掀背门外板周转料架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63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掀背门外板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EB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8E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1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5D4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C5D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23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B357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小计（元）</w:t>
            </w:r>
          </w:p>
        </w:tc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C36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220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F347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60B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97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F6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料架名称</w:t>
            </w:r>
          </w:p>
        </w:tc>
        <w:tc>
          <w:tcPr>
            <w:tcW w:w="107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54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零件名称/规格</w:t>
            </w:r>
          </w:p>
        </w:tc>
        <w:tc>
          <w:tcPr>
            <w:tcW w:w="40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91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制作数量</w:t>
            </w:r>
          </w:p>
        </w:tc>
        <w:tc>
          <w:tcPr>
            <w:tcW w:w="56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6A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含税单价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C2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含税小计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60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08590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6D0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273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折叠网格箱M12107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4F8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1200*1000*750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090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BA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3F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8532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底部铺5mm厚黑色橡胶板，长边两侧加看板，网目50*50</w:t>
            </w:r>
          </w:p>
        </w:tc>
      </w:tr>
      <w:tr w14:paraId="4B622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7F0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9CA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折叠网格箱M16117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819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1600*1150*750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FF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59A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5B3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901AF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383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AB5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E85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折叠网格箱M18117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5AA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1800*1150*750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DDD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C5F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F12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40346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687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58C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C27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折叠网格箱M24117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2E8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2400*1150*750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F0B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033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02F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E1416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9D3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0E4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CEF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Dolly车D1512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01F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1500*1200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B5F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DC6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C05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DAA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扶手可折叠堆垛，底部铺5mm厚黑色橡胶板</w:t>
            </w:r>
          </w:p>
        </w:tc>
      </w:tr>
      <w:tr w14:paraId="198B8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DB8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545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Dolly车D2012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55A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2000*1200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0B4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083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8DA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573EE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236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599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C23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冲压边角废料箱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EF8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3000*2000*1500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650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527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3FD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6E11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EFE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40F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F82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冲压线首废料框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B26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4000*2500*1150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3C0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66B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467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FC12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B4B7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E82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5C9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焊装垃圾转运车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290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2700*1800*1400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721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8B5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FC9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EEB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带轮、牵引，不带上盖</w:t>
            </w:r>
          </w:p>
        </w:tc>
      </w:tr>
      <w:tr w14:paraId="1B610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23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AE47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小计（元）</w:t>
            </w:r>
          </w:p>
        </w:tc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33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</w:t>
            </w:r>
          </w:p>
        </w:tc>
        <w:tc>
          <w:tcPr>
            <w:tcW w:w="220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38868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</w:tbl>
    <w:p w14:paraId="2CB0C862">
      <w:pPr>
        <w:rPr>
          <w:rFonts w:hint="eastAsia" w:ascii="宋体" w:hAnsi="宋体" w:eastAsia="宋体" w:cs="宋体"/>
          <w:b/>
          <w:bCs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</w:p>
    <w:tbl>
      <w:tblPr>
        <w:tblStyle w:val="11"/>
        <w:tblW w:w="5315" w:type="pct"/>
        <w:tblInd w:w="-3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1953"/>
        <w:gridCol w:w="1975"/>
        <w:gridCol w:w="698"/>
        <w:gridCol w:w="1024"/>
        <w:gridCol w:w="1213"/>
        <w:gridCol w:w="1769"/>
      </w:tblGrid>
      <w:tr w14:paraId="31D0F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D2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AE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料架名称</w:t>
            </w:r>
          </w:p>
        </w:tc>
        <w:tc>
          <w:tcPr>
            <w:tcW w:w="10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28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零件名称/规格</w:t>
            </w: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F6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制作数量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88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含税单价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6E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含税小计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5B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75827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6D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48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车架存储周转料架</w:t>
            </w:r>
          </w:p>
        </w:tc>
        <w:tc>
          <w:tcPr>
            <w:tcW w:w="10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0D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零件尺寸3400*1050*478</w:t>
            </w: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C2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DA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E3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6DE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单个料架装载量3个件</w:t>
            </w:r>
          </w:p>
        </w:tc>
      </w:tr>
      <w:tr w14:paraId="004DF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C6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7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45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大板车</w:t>
            </w:r>
          </w:p>
        </w:tc>
        <w:tc>
          <w:tcPr>
            <w:tcW w:w="108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18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4000*2400</w:t>
            </w: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8B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7A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06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905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匹配料架</w:t>
            </w:r>
          </w:p>
        </w:tc>
      </w:tr>
      <w:tr w14:paraId="71109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240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604EA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小计（元）</w:t>
            </w: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CF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21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1AF3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5A372656">
      <w:pPr>
        <w:rPr>
          <w:rFonts w:hint="eastAsia" w:ascii="宋体" w:hAnsi="宋体" w:eastAsia="宋体" w:cs="宋体"/>
          <w:b/>
          <w:bCs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</w:p>
    <w:tbl>
      <w:tblPr>
        <w:tblStyle w:val="11"/>
        <w:tblW w:w="9045" w:type="dxa"/>
        <w:tblInd w:w="-3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650"/>
        <w:gridCol w:w="2253"/>
        <w:gridCol w:w="660"/>
        <w:gridCol w:w="1125"/>
        <w:gridCol w:w="1290"/>
        <w:gridCol w:w="1317"/>
      </w:tblGrid>
      <w:tr w14:paraId="608E5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69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15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料架名称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8C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零件名称/规格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42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制作数量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66B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含税单价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91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含税小计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1A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69C49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C2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78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12格通用周转料架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A5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HVAC本体总成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81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7D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D1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231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18D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50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B2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16格布袋通用料架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AD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前机盖总成（紫色）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F3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FA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D0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F2E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F68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31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C1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16格布袋通用料架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AA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右侧前门护板本体总成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73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2A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9D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10C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373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B3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88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16格布袋通用料架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D2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右侧围上护板总成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2B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22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AC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413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39E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CF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88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16格布袋通用料架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53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右翼子板总成（黑色）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5A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98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82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DCF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861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94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AF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16格布袋通用料架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6B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左侧前门护板本体总成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DC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BB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70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9A2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0EC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77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4E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16格布袋通用料架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96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左侧围上护板总成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52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81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0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76C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02C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98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6D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16格布袋通用料架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75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左前门外板总成（黑色）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F4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C2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03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A66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8F5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5B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2B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16格布袋通用料架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35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左翼子板总成（黑色）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D6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82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D1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EDC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0AE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27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9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24格通用周转料架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31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真空助力器带制动主缸总成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9D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B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55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633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E2F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E8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B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24格通用周转料架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E6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电动空调压缩机带支架总成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A5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32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8C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5FA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979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EF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43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24格通用周转料架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4A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电动转向管柱带中间轴总成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AD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AB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05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EAA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CC4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01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5B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24格通用周转料架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F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驱动电机控制器7.5kW（合普）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84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08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2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F64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C92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BF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71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40格布袋通用料架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9F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右前组合灯总成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86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F9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0D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91C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8B1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61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A3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40格布袋通用料架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CE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左前组合灯总成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C7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53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9E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B7A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2D1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F0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D3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40格通用周转料架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03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右后拖曳臂总成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4C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25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E2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C12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8F8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21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BE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40格通用周转料架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6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左后拖曳臂总成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BE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CA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3F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4E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796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CF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87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40格长布袋料架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A8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前保上装饰件总成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53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F3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4B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195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C59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99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56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40格布袋通用料架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5F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光伏左后护板总成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C8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E3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FD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E14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EDB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23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3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方向盘周转料架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04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方向盘（深棕）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AB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BB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58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7E8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0D5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52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B8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光伏板护板周转料架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ED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十分阳光上层光伏护板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1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93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05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0B2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74B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C9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EF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光伏伸缩机构台车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B7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光伏板伸缩控制机构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FB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BD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BC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655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F72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7D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D2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后保险杠周转料架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A7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后保险杠总成（黑色）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A0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44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6E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9F8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956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F8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89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后背门周转料架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2D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后背门总成（黑色）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8E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9F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E3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33B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8B0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E3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B2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后侧围外板周转料架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E1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右后侧围下外板总成（黑色）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58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D3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8B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D00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FF6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C5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32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后侧围外板周转料架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37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左后侧围下外板总成（黑色）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95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24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51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C84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0E0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D6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BF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后座椅周转料架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4F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后排座垫总成（仿皮）（深棕）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C8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62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1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BB1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B7D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8D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28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垃圾车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73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总装垃圾车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BB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50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8D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70C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AA4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F5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BD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前保险杠周转料架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9F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前保险杠总成（黑色）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D2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9E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9A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336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69D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29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8D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前端框架周转料架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0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前端框架总成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B3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2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20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17C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6C6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04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FD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前座椅周转料架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A3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副驾驶员座椅总成（仿皮+四向）（深棕）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28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43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40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88F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8F74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29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F1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前座椅周转料架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6C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驾驶员座椅总成（仿皮+四向）（深棕）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7A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15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E6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9F7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FC0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5F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1C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23CC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三层平板料架1500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69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地板线束总成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8B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8D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89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D82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D5A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FD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1E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三层平板料架1800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26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左后制动硬管总成Ⅲ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C4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53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6A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AE8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896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EE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7C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裙板周转料架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CD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侧裙总成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45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F2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F2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EC9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945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22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05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三层通用周转料架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89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前地板本体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F7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DB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03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F5C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ABBF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CC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5A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轮眉、内轮罩组合周转料架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49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右前轮眉总成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D3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92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90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40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底部一层放内轮罩组合</w:t>
            </w:r>
          </w:p>
        </w:tc>
      </w:tr>
      <w:tr w14:paraId="1FCF3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4C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B2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轮眉、内轮罩组合周转料架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F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左前轮眉总成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7C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E0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1C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4DC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E22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9E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66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蓄电池周转料架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9D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蓄电池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72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20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54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B44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A71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06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C5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转向器周转料架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B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机械转向器带横拉杆总成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49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90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27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643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54D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DE0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小计（元）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0E3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37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FCC2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1D952897">
      <w:pPr>
        <w:rPr>
          <w:rFonts w:hint="eastAsia" w:ascii="宋体" w:hAnsi="宋体" w:eastAsia="宋体" w:cs="宋体"/>
          <w:b/>
          <w:bCs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</w:p>
    <w:p w14:paraId="4B9F8377">
      <w:pP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2"/>
          <w:szCs w:val="22"/>
          <w:shd w:val="clear" w:fill="FFFFFF"/>
        </w:rPr>
      </w:pPr>
    </w:p>
    <w:p w14:paraId="118D8B58">
      <w:pPr>
        <w:rPr>
          <w:rFonts w:hint="eastAsia" w:ascii="Segoe UI" w:hAnsi="Segoe UI" w:eastAsia="宋体" w:cs="Segoe UI"/>
          <w:b/>
          <w:bCs/>
          <w:caps w:val="0"/>
          <w:color w:val="0F1115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b/>
          <w:bCs/>
          <w:caps w:val="0"/>
          <w:color w:val="0F1115"/>
          <w:spacing w:val="0"/>
          <w:sz w:val="22"/>
          <w:szCs w:val="22"/>
          <w:shd w:val="clear" w:fill="FFFFFF"/>
          <w:lang w:val="en-US" w:eastAsia="zh-CN"/>
        </w:rPr>
        <w:t>第2批料架清单</w:t>
      </w:r>
    </w:p>
    <w:tbl>
      <w:tblPr>
        <w:tblStyle w:val="11"/>
        <w:tblW w:w="9030" w:type="dxa"/>
        <w:tblInd w:w="-32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650"/>
        <w:gridCol w:w="2268"/>
        <w:gridCol w:w="720"/>
        <w:gridCol w:w="1020"/>
        <w:gridCol w:w="1320"/>
        <w:gridCol w:w="1302"/>
      </w:tblGrid>
      <w:tr w14:paraId="07E25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24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7F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料架名称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A7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零件名称/规格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7F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制作数量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F9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含税单价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12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含税小计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03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47D67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75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8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车架存储周转料架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50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3400*1050*478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86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60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1F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AAE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21A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46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C4E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小计（元）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38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6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A70E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792D7ACD">
      <w:pPr>
        <w:rPr>
          <w:rFonts w:hint="eastAsia" w:ascii="Segoe UI" w:hAnsi="Segoe UI" w:eastAsia="宋体" w:cs="Segoe UI"/>
          <w:b/>
          <w:bCs/>
          <w:caps w:val="0"/>
          <w:color w:val="0F1115"/>
          <w:spacing w:val="0"/>
          <w:sz w:val="22"/>
          <w:szCs w:val="22"/>
          <w:shd w:val="clear" w:fill="FFFFFF"/>
          <w:lang w:val="en-US" w:eastAsia="zh-CN"/>
        </w:rPr>
      </w:pPr>
    </w:p>
    <w:p w14:paraId="7AFE6B43">
      <w:pPr>
        <w:rPr>
          <w:rFonts w:hint="eastAsia" w:ascii="Segoe UI" w:hAnsi="Segoe UI" w:eastAsia="宋体" w:cs="Segoe UI"/>
          <w:b/>
          <w:bCs/>
          <w:caps w:val="0"/>
          <w:color w:val="0F1115"/>
          <w:spacing w:val="0"/>
          <w:sz w:val="22"/>
          <w:szCs w:val="22"/>
          <w:shd w:val="clear" w:fill="FFFFFF"/>
          <w:lang w:val="en-US" w:eastAsia="zh-CN"/>
        </w:rPr>
      </w:pPr>
    </w:p>
    <w:tbl>
      <w:tblPr>
        <w:tblStyle w:val="11"/>
        <w:tblW w:w="9030" w:type="dxa"/>
        <w:tblInd w:w="-3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650"/>
        <w:gridCol w:w="2223"/>
        <w:gridCol w:w="765"/>
        <w:gridCol w:w="1020"/>
        <w:gridCol w:w="1320"/>
        <w:gridCol w:w="1302"/>
      </w:tblGrid>
      <w:tr w14:paraId="271D1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ED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DF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料架名称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53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零件名称/规格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C1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制作数量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FB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含税单价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53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含税小计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2E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0F636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0D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EA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16格布袋通用料架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F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右前门外板总成（黑色）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75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E5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A1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42A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5AC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BD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51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24格通用周转料架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02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右侧门电动玻璃升降器总成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DA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DA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29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145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FA4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C6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37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24格通用周转料架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AB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左侧门电动玻璃升降器总成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68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C0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4F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04A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506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1A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82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16格布袋料架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74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右侧前门护板本体总成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42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4E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BC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10F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0DB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CC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B0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16格布袋料架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AD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左侧前门护板本体总成（浅棕）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1F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B2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13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94A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510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2F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E4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32格通用周转料架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C2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洗涤壶总成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A8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08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6E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3784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C73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AE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53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32格通用周转料架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F6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右前转向节带盘式制动器总成（二供-垠石）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D8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07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36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9E0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888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94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39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32格通用周转料架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A9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左前下摆臂总成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44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62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0C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A5B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A43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08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A6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32格通用周转料架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D2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左前转向节带盘式制动器总成（二供-垠石）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53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33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C5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7E9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36E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96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FC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40格布袋通用料架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40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右外后视镜总成（黑色）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71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D3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81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C39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18D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24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3C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40格布袋通用料架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02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中控大屏总成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7C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68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91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062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F50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79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2F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40格布袋通用料架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CB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左外后视镜总成（黑色）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14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0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52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C93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2FE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9F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33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40格通用周转料架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02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后螺旋弹簧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9F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15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7F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B5D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A3D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31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6B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40格通用周转料架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30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左前滑柱总成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3D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B5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A9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3A0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495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E1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5A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40格通用周转料架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0A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电子加速踏板总成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23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45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47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02D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A96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93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92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40格长布袋料架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21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通风盖板本体总成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89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1E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6E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C2B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FA5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69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55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Dolly车1300*1200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52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仪表板横梁总成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61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7C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FC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8C2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平板才车台面增加5mm厚橡胶板</w:t>
            </w:r>
          </w:p>
          <w:p w14:paraId="548CE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3A3A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01675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DDA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8C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88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Dolly车1300*1200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C8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右侧围侧窗玻璃总成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FB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86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5A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48F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AC8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94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D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Dolly车1300*1200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F8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左侧围侧窗玻璃总成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D3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77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B1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0A7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69D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7C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8D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Dolly车1500*1200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29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后背门玻璃总成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75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8F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DA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DC4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286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ED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C8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Dolly车1500*1200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09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后桥总成(带ABS齿圈，85-15)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60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82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D9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53B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932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29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AD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Dolly车1500*1200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0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轮胎总成（玲珑轮胎）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BC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E5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7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066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D07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8A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68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Dolly车1500*1200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33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前地毯总成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E8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97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FF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EF2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A52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26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96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Dolly车1500*1200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E5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前风挡玻璃总成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90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8D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9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2B1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A5B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06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7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Dolly车1500*1200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1D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前围护板本体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9C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91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20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213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7BC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1F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3C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Dolly车1500*1200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6B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驱动电机7.5kW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91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F2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DE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C6B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44C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D7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06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Dolly车1500*1200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E0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行李箱地板护面本体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5F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E0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7C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B7C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A32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4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FF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Dolly车1500*1200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AB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仪表板总成（浅棕）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89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79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20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B32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C2E8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8D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9D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顶棚周转料架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1E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顶棚本体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F5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31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B3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419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EAD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05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7F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副车架周转料架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FF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前副车架总成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30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90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3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E43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8229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FC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B1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冷凝器周转料架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66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冷凝器总成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A3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39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42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37A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AAA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6F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B9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门洞胶条器具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B2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车门门洞密封条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C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3E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7C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67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15303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带轮料架</w:t>
            </w:r>
          </w:p>
          <w:p w14:paraId="09F15F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659A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22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2E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门洞胶条器具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1C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后背门门洞密封条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08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DA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27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806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030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47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C6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门洞胶条器具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EA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右侧门框密封条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D9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7F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15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CB8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641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74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9B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门洞胶条器具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97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左侧门框密封条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39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36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61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BE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BD60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1D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CA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三层平板料架1500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E5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后横拉杆总成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23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5C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DE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41A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688C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67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92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三层平板料架1500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9B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左后制动硬管总成Ⅱ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0B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62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7C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914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FDF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31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46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三层平板料架1500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36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左前制动硬管总成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0B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9C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15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F4B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48C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28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09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40格长布袋料架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28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副仪表板本体总成（浅棕）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60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B7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DA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05C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541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46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18C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小计（元）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38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36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AFD5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83B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46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F983C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合计（元）</w:t>
            </w:r>
          </w:p>
        </w:tc>
        <w:tc>
          <w:tcPr>
            <w:tcW w:w="44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AD565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B36D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46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63E7A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税金（税率：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）</w:t>
            </w:r>
          </w:p>
        </w:tc>
        <w:tc>
          <w:tcPr>
            <w:tcW w:w="44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10403F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5847A61A">
      <w:pPr>
        <w:rPr>
          <w:rFonts w:hint="default" w:ascii="Segoe UI" w:hAnsi="Segoe UI" w:eastAsia="宋体" w:cs="Segoe UI"/>
          <w:b/>
          <w:bCs/>
          <w:caps w:val="0"/>
          <w:color w:val="0F1115"/>
          <w:spacing w:val="0"/>
          <w:sz w:val="22"/>
          <w:szCs w:val="22"/>
          <w:shd w:val="clear" w:fill="FFFFFF"/>
          <w:lang w:val="en-US" w:eastAsia="zh-CN"/>
        </w:rPr>
      </w:pPr>
    </w:p>
    <w:p w14:paraId="166166C7"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若分项报价明细表汇总合计金额与询价函含税总报价不一致，以附件1询价函中响应报价为准。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 w14:paraId="03189762">
      <w:pPr>
        <w:spacing w:line="241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1F5D840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03154D0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51457B3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9727420">
      <w:pPr>
        <w:rPr>
          <w:rFonts w:hint="eastAsia"/>
          <w:lang w:val="en-US" w:eastAsia="zh-CN"/>
        </w:rPr>
      </w:pPr>
    </w:p>
    <w:p w14:paraId="296A5C5B">
      <w:pPr>
        <w:rPr>
          <w:rFonts w:hint="eastAsia"/>
          <w:lang w:val="en-US" w:eastAsia="zh-CN"/>
        </w:rPr>
      </w:pPr>
    </w:p>
    <w:p w14:paraId="6BC6A065">
      <w:pPr>
        <w:pStyle w:val="6"/>
        <w:numPr>
          <w:ilvl w:val="0"/>
          <w:numId w:val="0"/>
        </w:numPr>
        <w:spacing w:line="560" w:lineRule="exact"/>
        <w:jc w:val="center"/>
        <w:rPr>
          <w:rFonts w:hint="default" w:ascii="Times New Roman" w:hAnsi="Times New Roman" w:eastAsia="宋体" w:cs="Times New Roman"/>
          <w:strike w:val="0"/>
          <w:dstrike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微软雅黑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宋体" w:hAnsi="宋体" w:eastAsia="宋体" w:cs="微软雅黑"/>
          <w:sz w:val="32"/>
          <w:szCs w:val="32"/>
          <w:lang w:val="en-US" w:eastAsia="zh-CN"/>
        </w:rPr>
        <w:t>备品备件清单</w:t>
      </w:r>
    </w:p>
    <w:tbl>
      <w:tblPr>
        <w:tblStyle w:val="11"/>
        <w:tblpPr w:leftFromText="180" w:rightFromText="180" w:vertAnchor="text" w:tblpXSpec="center" w:tblpY="1"/>
        <w:tblOverlap w:val="never"/>
        <w:tblW w:w="4995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2046"/>
        <w:gridCol w:w="787"/>
        <w:gridCol w:w="795"/>
        <w:gridCol w:w="1411"/>
        <w:gridCol w:w="1442"/>
        <w:gridCol w:w="1251"/>
      </w:tblGrid>
      <w:tr w14:paraId="298C04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782" w:type="dxa"/>
            <w:noWrap w:val="0"/>
            <w:vAlign w:val="center"/>
          </w:tcPr>
          <w:p w14:paraId="634B3DCD">
            <w:pPr>
              <w:widowControl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trike w:val="0"/>
                <w:dstrike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046" w:type="dxa"/>
            <w:tcBorders>
              <w:left w:val="single" w:color="auto" w:sz="4" w:space="0"/>
            </w:tcBorders>
            <w:noWrap w:val="0"/>
            <w:vAlign w:val="center"/>
          </w:tcPr>
          <w:p w14:paraId="3059B3DB">
            <w:pPr>
              <w:widowControl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787" w:type="dxa"/>
            <w:tcBorders>
              <w:left w:val="single" w:color="auto" w:sz="4" w:space="0"/>
            </w:tcBorders>
            <w:noWrap w:val="0"/>
            <w:vAlign w:val="center"/>
          </w:tcPr>
          <w:p w14:paraId="3842A6F3">
            <w:pPr>
              <w:widowControl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795" w:type="dxa"/>
            <w:tcBorders>
              <w:left w:val="single" w:color="auto" w:sz="4" w:space="0"/>
            </w:tcBorders>
            <w:noWrap w:val="0"/>
            <w:vAlign w:val="center"/>
          </w:tcPr>
          <w:p w14:paraId="247A6569">
            <w:pPr>
              <w:widowControl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411" w:type="dxa"/>
            <w:tcBorders>
              <w:left w:val="single" w:color="auto" w:sz="4" w:space="0"/>
            </w:tcBorders>
            <w:noWrap w:val="0"/>
            <w:vAlign w:val="center"/>
          </w:tcPr>
          <w:p w14:paraId="6440B241">
            <w:pPr>
              <w:widowControl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/>
              </w:rPr>
              <w:t>含税单价（元）</w:t>
            </w:r>
          </w:p>
        </w:tc>
        <w:tc>
          <w:tcPr>
            <w:tcW w:w="1442" w:type="dxa"/>
            <w:tcBorders>
              <w:left w:val="single" w:color="auto" w:sz="4" w:space="0"/>
            </w:tcBorders>
            <w:noWrap w:val="0"/>
            <w:vAlign w:val="center"/>
          </w:tcPr>
          <w:p w14:paraId="7F80A34C">
            <w:pPr>
              <w:widowControl/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/>
              </w:rPr>
              <w:t>含税总价（元）</w:t>
            </w:r>
          </w:p>
        </w:tc>
        <w:tc>
          <w:tcPr>
            <w:tcW w:w="1251" w:type="dxa"/>
            <w:tcBorders>
              <w:left w:val="single" w:color="auto" w:sz="4" w:space="0"/>
            </w:tcBorders>
            <w:noWrap w:val="0"/>
            <w:vAlign w:val="center"/>
          </w:tcPr>
          <w:p w14:paraId="478A960B">
            <w:pPr>
              <w:widowControl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/>
              </w:rPr>
              <w:t>品牌/型号</w:t>
            </w:r>
          </w:p>
        </w:tc>
      </w:tr>
      <w:tr w14:paraId="693FC5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82" w:type="dxa"/>
            <w:noWrap w:val="0"/>
            <w:vAlign w:val="center"/>
          </w:tcPr>
          <w:p w14:paraId="367EBC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87" w:leftChars="0" w:firstLine="397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046" w:type="dxa"/>
            <w:tcBorders>
              <w:left w:val="single" w:color="auto" w:sz="4" w:space="0"/>
            </w:tcBorders>
            <w:noWrap w:val="0"/>
            <w:vAlign w:val="center"/>
          </w:tcPr>
          <w:p w14:paraId="2CC91C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7" w:type="dxa"/>
            <w:tcBorders>
              <w:left w:val="single" w:color="auto" w:sz="4" w:space="0"/>
            </w:tcBorders>
            <w:noWrap w:val="0"/>
            <w:vAlign w:val="center"/>
          </w:tcPr>
          <w:p w14:paraId="3B6E6C93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95" w:type="dxa"/>
            <w:tcBorders>
              <w:left w:val="single" w:color="auto" w:sz="4" w:space="0"/>
            </w:tcBorders>
            <w:noWrap w:val="0"/>
            <w:vAlign w:val="center"/>
          </w:tcPr>
          <w:p w14:paraId="404616AC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11" w:type="dxa"/>
            <w:tcBorders>
              <w:left w:val="single" w:color="auto" w:sz="4" w:space="0"/>
            </w:tcBorders>
            <w:noWrap w:val="0"/>
            <w:vAlign w:val="center"/>
          </w:tcPr>
          <w:p w14:paraId="1411CFA3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42" w:type="dxa"/>
            <w:tcBorders>
              <w:left w:val="single" w:color="auto" w:sz="4" w:space="0"/>
            </w:tcBorders>
            <w:noWrap w:val="0"/>
            <w:vAlign w:val="center"/>
          </w:tcPr>
          <w:p w14:paraId="1B4D9C00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51" w:type="dxa"/>
            <w:tcBorders>
              <w:left w:val="single" w:color="auto" w:sz="4" w:space="0"/>
            </w:tcBorders>
            <w:noWrap w:val="0"/>
            <w:vAlign w:val="center"/>
          </w:tcPr>
          <w:p w14:paraId="0DB784EA">
            <w:pPr>
              <w:widowControl/>
              <w:ind w:firstLine="0" w:firstLineChars="0"/>
              <w:jc w:val="center"/>
              <w:rPr>
                <w:rFonts w:hint="default" w:ascii="Times New Roman" w:hAnsi="Times New Roman" w:cs="Times New Roman"/>
                <w:strike w:val="0"/>
                <w:dstrike w:val="0"/>
                <w:color w:val="000000"/>
                <w:kern w:val="0"/>
                <w:sz w:val="24"/>
                <w:szCs w:val="24"/>
              </w:rPr>
            </w:pPr>
          </w:p>
        </w:tc>
      </w:tr>
      <w:tr w14:paraId="5092DB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82" w:type="dxa"/>
            <w:noWrap w:val="0"/>
            <w:vAlign w:val="center"/>
          </w:tcPr>
          <w:p w14:paraId="7D9CD5A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87" w:leftChars="0" w:firstLine="397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2046" w:type="dxa"/>
            <w:tcBorders>
              <w:left w:val="single" w:color="auto" w:sz="4" w:space="0"/>
            </w:tcBorders>
            <w:noWrap w:val="0"/>
            <w:vAlign w:val="center"/>
          </w:tcPr>
          <w:p w14:paraId="6BBF4F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7" w:type="dxa"/>
            <w:tcBorders>
              <w:left w:val="single" w:color="auto" w:sz="4" w:space="0"/>
            </w:tcBorders>
            <w:noWrap w:val="0"/>
            <w:vAlign w:val="center"/>
          </w:tcPr>
          <w:p w14:paraId="1106A437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95" w:type="dxa"/>
            <w:tcBorders>
              <w:left w:val="single" w:color="auto" w:sz="4" w:space="0"/>
            </w:tcBorders>
            <w:noWrap w:val="0"/>
            <w:vAlign w:val="center"/>
          </w:tcPr>
          <w:p w14:paraId="336F53BF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11" w:type="dxa"/>
            <w:tcBorders>
              <w:left w:val="single" w:color="auto" w:sz="4" w:space="0"/>
            </w:tcBorders>
            <w:noWrap w:val="0"/>
            <w:vAlign w:val="center"/>
          </w:tcPr>
          <w:p w14:paraId="2216272D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42" w:type="dxa"/>
            <w:tcBorders>
              <w:left w:val="single" w:color="auto" w:sz="4" w:space="0"/>
            </w:tcBorders>
            <w:noWrap w:val="0"/>
            <w:vAlign w:val="center"/>
          </w:tcPr>
          <w:p w14:paraId="3FEA87DF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51" w:type="dxa"/>
            <w:tcBorders>
              <w:left w:val="single" w:color="auto" w:sz="4" w:space="0"/>
            </w:tcBorders>
            <w:noWrap w:val="0"/>
            <w:vAlign w:val="center"/>
          </w:tcPr>
          <w:p w14:paraId="756B11F1">
            <w:pPr>
              <w:widowControl/>
              <w:ind w:firstLine="0" w:firstLineChars="0"/>
              <w:jc w:val="center"/>
              <w:rPr>
                <w:rFonts w:hint="default" w:ascii="Times New Roman" w:hAnsi="Times New Roman" w:cs="Times New Roman"/>
                <w:strike w:val="0"/>
                <w:dstrike w:val="0"/>
                <w:color w:val="000000"/>
                <w:kern w:val="0"/>
                <w:sz w:val="24"/>
                <w:szCs w:val="24"/>
              </w:rPr>
            </w:pPr>
          </w:p>
        </w:tc>
      </w:tr>
      <w:tr w14:paraId="7E3D1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82" w:type="dxa"/>
            <w:noWrap w:val="0"/>
            <w:vAlign w:val="center"/>
          </w:tcPr>
          <w:p w14:paraId="58E97F5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87" w:leftChars="0" w:firstLine="397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2046" w:type="dxa"/>
            <w:tcBorders>
              <w:left w:val="single" w:color="auto" w:sz="4" w:space="0"/>
            </w:tcBorders>
            <w:noWrap w:val="0"/>
            <w:vAlign w:val="center"/>
          </w:tcPr>
          <w:p w14:paraId="3FAEBA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7" w:type="dxa"/>
            <w:tcBorders>
              <w:left w:val="single" w:color="auto" w:sz="4" w:space="0"/>
            </w:tcBorders>
            <w:noWrap w:val="0"/>
            <w:vAlign w:val="center"/>
          </w:tcPr>
          <w:p w14:paraId="35EF7E87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95" w:type="dxa"/>
            <w:tcBorders>
              <w:left w:val="single" w:color="auto" w:sz="4" w:space="0"/>
            </w:tcBorders>
            <w:noWrap w:val="0"/>
            <w:vAlign w:val="center"/>
          </w:tcPr>
          <w:p w14:paraId="1F867645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11" w:type="dxa"/>
            <w:tcBorders>
              <w:left w:val="single" w:color="auto" w:sz="4" w:space="0"/>
            </w:tcBorders>
            <w:noWrap w:val="0"/>
            <w:vAlign w:val="center"/>
          </w:tcPr>
          <w:p w14:paraId="3E959D8E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42" w:type="dxa"/>
            <w:tcBorders>
              <w:left w:val="single" w:color="auto" w:sz="4" w:space="0"/>
            </w:tcBorders>
            <w:noWrap w:val="0"/>
            <w:vAlign w:val="center"/>
          </w:tcPr>
          <w:p w14:paraId="5AB6E134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51" w:type="dxa"/>
            <w:tcBorders>
              <w:left w:val="single" w:color="auto" w:sz="4" w:space="0"/>
            </w:tcBorders>
            <w:noWrap w:val="0"/>
            <w:vAlign w:val="center"/>
          </w:tcPr>
          <w:p w14:paraId="2CDC2AB5">
            <w:pPr>
              <w:widowControl/>
              <w:ind w:firstLine="0" w:firstLineChars="0"/>
              <w:jc w:val="center"/>
              <w:rPr>
                <w:rFonts w:hint="default" w:ascii="Times New Roman" w:hAnsi="Times New Roman" w:cs="Times New Roman"/>
                <w:strike w:val="0"/>
                <w:dstrike w:val="0"/>
                <w:color w:val="000000"/>
                <w:kern w:val="0"/>
                <w:sz w:val="24"/>
                <w:szCs w:val="24"/>
              </w:rPr>
            </w:pPr>
          </w:p>
        </w:tc>
      </w:tr>
      <w:tr w14:paraId="694D8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782" w:type="dxa"/>
            <w:noWrap w:val="0"/>
            <w:vAlign w:val="center"/>
          </w:tcPr>
          <w:p w14:paraId="745C53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87" w:leftChars="0" w:firstLine="397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2046" w:type="dxa"/>
            <w:tcBorders>
              <w:left w:val="single" w:color="auto" w:sz="4" w:space="0"/>
            </w:tcBorders>
            <w:noWrap w:val="0"/>
            <w:vAlign w:val="center"/>
          </w:tcPr>
          <w:p w14:paraId="60399E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7" w:type="dxa"/>
            <w:tcBorders>
              <w:left w:val="single" w:color="auto" w:sz="4" w:space="0"/>
            </w:tcBorders>
            <w:noWrap w:val="0"/>
            <w:vAlign w:val="center"/>
          </w:tcPr>
          <w:p w14:paraId="620E0E51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95" w:type="dxa"/>
            <w:tcBorders>
              <w:left w:val="single" w:color="auto" w:sz="4" w:space="0"/>
            </w:tcBorders>
            <w:noWrap w:val="0"/>
            <w:vAlign w:val="center"/>
          </w:tcPr>
          <w:p w14:paraId="7F5BFECD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11" w:type="dxa"/>
            <w:tcBorders>
              <w:left w:val="single" w:color="auto" w:sz="4" w:space="0"/>
            </w:tcBorders>
            <w:noWrap w:val="0"/>
            <w:vAlign w:val="center"/>
          </w:tcPr>
          <w:p w14:paraId="580B763D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42" w:type="dxa"/>
            <w:tcBorders>
              <w:left w:val="single" w:color="auto" w:sz="4" w:space="0"/>
            </w:tcBorders>
            <w:noWrap w:val="0"/>
            <w:vAlign w:val="center"/>
          </w:tcPr>
          <w:p w14:paraId="1BE9E8EA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51" w:type="dxa"/>
            <w:tcBorders>
              <w:left w:val="single" w:color="auto" w:sz="4" w:space="0"/>
            </w:tcBorders>
            <w:noWrap w:val="0"/>
            <w:vAlign w:val="center"/>
          </w:tcPr>
          <w:p w14:paraId="4CEED355">
            <w:pPr>
              <w:widowControl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5180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82" w:type="dxa"/>
            <w:noWrap w:val="0"/>
            <w:vAlign w:val="center"/>
          </w:tcPr>
          <w:p w14:paraId="687D9AE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87" w:leftChars="0" w:firstLine="397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2046" w:type="dxa"/>
            <w:tcBorders>
              <w:left w:val="single" w:color="auto" w:sz="4" w:space="0"/>
            </w:tcBorders>
            <w:noWrap w:val="0"/>
            <w:vAlign w:val="center"/>
          </w:tcPr>
          <w:p w14:paraId="3EE880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7" w:type="dxa"/>
            <w:tcBorders>
              <w:left w:val="single" w:color="auto" w:sz="4" w:space="0"/>
            </w:tcBorders>
            <w:noWrap w:val="0"/>
            <w:vAlign w:val="center"/>
          </w:tcPr>
          <w:p w14:paraId="3B2B7FCA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95" w:type="dxa"/>
            <w:tcBorders>
              <w:left w:val="single" w:color="auto" w:sz="4" w:space="0"/>
            </w:tcBorders>
            <w:noWrap w:val="0"/>
            <w:vAlign w:val="center"/>
          </w:tcPr>
          <w:p w14:paraId="173EF966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11" w:type="dxa"/>
            <w:tcBorders>
              <w:left w:val="single" w:color="auto" w:sz="4" w:space="0"/>
            </w:tcBorders>
            <w:noWrap w:val="0"/>
            <w:vAlign w:val="center"/>
          </w:tcPr>
          <w:p w14:paraId="4555A0E2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42" w:type="dxa"/>
            <w:tcBorders>
              <w:left w:val="single" w:color="auto" w:sz="4" w:space="0"/>
            </w:tcBorders>
            <w:noWrap w:val="0"/>
            <w:vAlign w:val="center"/>
          </w:tcPr>
          <w:p w14:paraId="1FF96461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51" w:type="dxa"/>
            <w:tcBorders>
              <w:left w:val="single" w:color="auto" w:sz="4" w:space="0"/>
            </w:tcBorders>
            <w:noWrap w:val="0"/>
            <w:vAlign w:val="center"/>
          </w:tcPr>
          <w:p w14:paraId="010DC9CF">
            <w:pPr>
              <w:widowControl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DA710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82" w:type="dxa"/>
            <w:noWrap w:val="0"/>
            <w:vAlign w:val="center"/>
          </w:tcPr>
          <w:p w14:paraId="6D355F4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87" w:leftChars="0" w:firstLine="397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2046" w:type="dxa"/>
            <w:tcBorders>
              <w:left w:val="single" w:color="auto" w:sz="4" w:space="0"/>
            </w:tcBorders>
            <w:noWrap w:val="0"/>
            <w:vAlign w:val="center"/>
          </w:tcPr>
          <w:p w14:paraId="4232FED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7" w:type="dxa"/>
            <w:tcBorders>
              <w:left w:val="single" w:color="auto" w:sz="4" w:space="0"/>
            </w:tcBorders>
            <w:noWrap w:val="0"/>
            <w:vAlign w:val="center"/>
          </w:tcPr>
          <w:p w14:paraId="037632F5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95" w:type="dxa"/>
            <w:tcBorders>
              <w:left w:val="single" w:color="auto" w:sz="4" w:space="0"/>
            </w:tcBorders>
            <w:noWrap w:val="0"/>
            <w:vAlign w:val="center"/>
          </w:tcPr>
          <w:p w14:paraId="53261DD0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11" w:type="dxa"/>
            <w:tcBorders>
              <w:left w:val="single" w:color="auto" w:sz="4" w:space="0"/>
            </w:tcBorders>
            <w:noWrap w:val="0"/>
            <w:vAlign w:val="center"/>
          </w:tcPr>
          <w:p w14:paraId="18CA4D30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42" w:type="dxa"/>
            <w:tcBorders>
              <w:left w:val="single" w:color="auto" w:sz="4" w:space="0"/>
            </w:tcBorders>
            <w:noWrap w:val="0"/>
            <w:vAlign w:val="center"/>
          </w:tcPr>
          <w:p w14:paraId="45281A81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51" w:type="dxa"/>
            <w:tcBorders>
              <w:left w:val="single" w:color="auto" w:sz="4" w:space="0"/>
            </w:tcBorders>
            <w:noWrap w:val="0"/>
            <w:vAlign w:val="center"/>
          </w:tcPr>
          <w:p w14:paraId="005F136F">
            <w:pPr>
              <w:widowControl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63446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82" w:type="dxa"/>
            <w:noWrap w:val="0"/>
            <w:vAlign w:val="center"/>
          </w:tcPr>
          <w:p w14:paraId="62F6E0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87" w:leftChars="0" w:firstLine="397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2046" w:type="dxa"/>
            <w:tcBorders>
              <w:left w:val="single" w:color="auto" w:sz="4" w:space="0"/>
            </w:tcBorders>
            <w:noWrap w:val="0"/>
            <w:vAlign w:val="center"/>
          </w:tcPr>
          <w:p w14:paraId="2B64AB4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7" w:type="dxa"/>
            <w:tcBorders>
              <w:left w:val="single" w:color="auto" w:sz="4" w:space="0"/>
            </w:tcBorders>
            <w:noWrap w:val="0"/>
            <w:vAlign w:val="center"/>
          </w:tcPr>
          <w:p w14:paraId="6E6E3A3F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95" w:type="dxa"/>
            <w:tcBorders>
              <w:left w:val="single" w:color="auto" w:sz="4" w:space="0"/>
            </w:tcBorders>
            <w:noWrap w:val="0"/>
            <w:vAlign w:val="center"/>
          </w:tcPr>
          <w:p w14:paraId="112783A1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11" w:type="dxa"/>
            <w:tcBorders>
              <w:left w:val="single" w:color="auto" w:sz="4" w:space="0"/>
            </w:tcBorders>
            <w:noWrap w:val="0"/>
            <w:vAlign w:val="center"/>
          </w:tcPr>
          <w:p w14:paraId="643C6B27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42" w:type="dxa"/>
            <w:tcBorders>
              <w:left w:val="single" w:color="auto" w:sz="4" w:space="0"/>
            </w:tcBorders>
            <w:noWrap w:val="0"/>
            <w:vAlign w:val="center"/>
          </w:tcPr>
          <w:p w14:paraId="72969EA7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51" w:type="dxa"/>
            <w:tcBorders>
              <w:left w:val="single" w:color="auto" w:sz="4" w:space="0"/>
            </w:tcBorders>
            <w:noWrap w:val="0"/>
            <w:vAlign w:val="center"/>
          </w:tcPr>
          <w:p w14:paraId="33FC3193">
            <w:pPr>
              <w:widowControl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E7247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82" w:type="dxa"/>
            <w:noWrap w:val="0"/>
            <w:vAlign w:val="center"/>
          </w:tcPr>
          <w:p w14:paraId="56EE897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87" w:leftChars="0" w:firstLine="397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2046" w:type="dxa"/>
            <w:tcBorders>
              <w:left w:val="single" w:color="auto" w:sz="4" w:space="0"/>
            </w:tcBorders>
            <w:noWrap w:val="0"/>
            <w:vAlign w:val="center"/>
          </w:tcPr>
          <w:p w14:paraId="311F0F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7" w:type="dxa"/>
            <w:tcBorders>
              <w:left w:val="single" w:color="auto" w:sz="4" w:space="0"/>
            </w:tcBorders>
            <w:noWrap w:val="0"/>
            <w:vAlign w:val="center"/>
          </w:tcPr>
          <w:p w14:paraId="5E21D0B8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95" w:type="dxa"/>
            <w:tcBorders>
              <w:left w:val="single" w:color="auto" w:sz="4" w:space="0"/>
            </w:tcBorders>
            <w:noWrap w:val="0"/>
            <w:vAlign w:val="center"/>
          </w:tcPr>
          <w:p w14:paraId="4B6ADB5F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11" w:type="dxa"/>
            <w:tcBorders>
              <w:left w:val="single" w:color="auto" w:sz="4" w:space="0"/>
            </w:tcBorders>
            <w:noWrap w:val="0"/>
            <w:vAlign w:val="center"/>
          </w:tcPr>
          <w:p w14:paraId="3CC9A659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42" w:type="dxa"/>
            <w:tcBorders>
              <w:left w:val="single" w:color="auto" w:sz="4" w:space="0"/>
            </w:tcBorders>
            <w:noWrap w:val="0"/>
            <w:vAlign w:val="center"/>
          </w:tcPr>
          <w:p w14:paraId="04522BC2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51" w:type="dxa"/>
            <w:tcBorders>
              <w:left w:val="single" w:color="auto" w:sz="4" w:space="0"/>
            </w:tcBorders>
            <w:noWrap w:val="0"/>
            <w:vAlign w:val="center"/>
          </w:tcPr>
          <w:p w14:paraId="45AE7CEB">
            <w:pPr>
              <w:widowControl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3D2E2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48" w:hRule="atLeast"/>
        </w:trPr>
        <w:tc>
          <w:tcPr>
            <w:tcW w:w="782" w:type="dxa"/>
            <w:noWrap w:val="0"/>
            <w:vAlign w:val="center"/>
          </w:tcPr>
          <w:p w14:paraId="512509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87" w:leftChars="0" w:firstLine="397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2046" w:type="dxa"/>
            <w:tcBorders>
              <w:left w:val="single" w:color="auto" w:sz="4" w:space="0"/>
            </w:tcBorders>
            <w:noWrap w:val="0"/>
            <w:vAlign w:val="center"/>
          </w:tcPr>
          <w:p w14:paraId="3C1EDCC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7" w:type="dxa"/>
            <w:tcBorders>
              <w:left w:val="single" w:color="auto" w:sz="4" w:space="0"/>
            </w:tcBorders>
            <w:noWrap w:val="0"/>
            <w:vAlign w:val="center"/>
          </w:tcPr>
          <w:p w14:paraId="62FA026C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95" w:type="dxa"/>
            <w:tcBorders>
              <w:left w:val="single" w:color="auto" w:sz="4" w:space="0"/>
            </w:tcBorders>
            <w:noWrap w:val="0"/>
            <w:vAlign w:val="center"/>
          </w:tcPr>
          <w:p w14:paraId="16983CAC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11" w:type="dxa"/>
            <w:tcBorders>
              <w:left w:val="single" w:color="auto" w:sz="4" w:space="0"/>
            </w:tcBorders>
            <w:noWrap w:val="0"/>
            <w:vAlign w:val="center"/>
          </w:tcPr>
          <w:p w14:paraId="3E5DFEB0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42" w:type="dxa"/>
            <w:tcBorders>
              <w:left w:val="single" w:color="auto" w:sz="4" w:space="0"/>
            </w:tcBorders>
            <w:noWrap w:val="0"/>
            <w:vAlign w:val="center"/>
          </w:tcPr>
          <w:p w14:paraId="1281180F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51" w:type="dxa"/>
            <w:tcBorders>
              <w:left w:val="single" w:color="auto" w:sz="4" w:space="0"/>
            </w:tcBorders>
            <w:noWrap w:val="0"/>
            <w:vAlign w:val="center"/>
          </w:tcPr>
          <w:p w14:paraId="220523CE">
            <w:pPr>
              <w:widowControl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B0289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82" w:type="dxa"/>
            <w:noWrap w:val="0"/>
            <w:vAlign w:val="center"/>
          </w:tcPr>
          <w:p w14:paraId="213226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87" w:leftChars="0" w:firstLine="397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2046" w:type="dxa"/>
            <w:tcBorders>
              <w:left w:val="single" w:color="auto" w:sz="4" w:space="0"/>
            </w:tcBorders>
            <w:noWrap w:val="0"/>
            <w:vAlign w:val="center"/>
          </w:tcPr>
          <w:p w14:paraId="255D2DA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7" w:type="dxa"/>
            <w:tcBorders>
              <w:left w:val="single" w:color="auto" w:sz="4" w:space="0"/>
            </w:tcBorders>
            <w:noWrap w:val="0"/>
            <w:vAlign w:val="center"/>
          </w:tcPr>
          <w:p w14:paraId="7E601264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95" w:type="dxa"/>
            <w:tcBorders>
              <w:left w:val="single" w:color="auto" w:sz="4" w:space="0"/>
            </w:tcBorders>
            <w:noWrap w:val="0"/>
            <w:vAlign w:val="center"/>
          </w:tcPr>
          <w:p w14:paraId="7B4792EE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11" w:type="dxa"/>
            <w:tcBorders>
              <w:left w:val="single" w:color="auto" w:sz="4" w:space="0"/>
            </w:tcBorders>
            <w:noWrap w:val="0"/>
            <w:vAlign w:val="center"/>
          </w:tcPr>
          <w:p w14:paraId="260AC2B4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42" w:type="dxa"/>
            <w:tcBorders>
              <w:left w:val="single" w:color="auto" w:sz="4" w:space="0"/>
            </w:tcBorders>
            <w:noWrap w:val="0"/>
            <w:vAlign w:val="center"/>
          </w:tcPr>
          <w:p w14:paraId="1B473635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51" w:type="dxa"/>
            <w:tcBorders>
              <w:left w:val="single" w:color="auto" w:sz="4" w:space="0"/>
            </w:tcBorders>
            <w:noWrap w:val="0"/>
            <w:vAlign w:val="center"/>
          </w:tcPr>
          <w:p w14:paraId="395DD071">
            <w:pPr>
              <w:widowControl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32432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82" w:type="dxa"/>
            <w:noWrap w:val="0"/>
            <w:vAlign w:val="center"/>
          </w:tcPr>
          <w:p w14:paraId="6454C1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87" w:leftChars="0" w:firstLine="397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2046" w:type="dxa"/>
            <w:tcBorders>
              <w:left w:val="single" w:color="auto" w:sz="4" w:space="0"/>
            </w:tcBorders>
            <w:noWrap w:val="0"/>
            <w:vAlign w:val="center"/>
          </w:tcPr>
          <w:p w14:paraId="7B58921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7" w:type="dxa"/>
            <w:tcBorders>
              <w:left w:val="single" w:color="auto" w:sz="4" w:space="0"/>
            </w:tcBorders>
            <w:noWrap w:val="0"/>
            <w:vAlign w:val="center"/>
          </w:tcPr>
          <w:p w14:paraId="1DEA1162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95" w:type="dxa"/>
            <w:tcBorders>
              <w:left w:val="single" w:color="auto" w:sz="4" w:space="0"/>
            </w:tcBorders>
            <w:noWrap w:val="0"/>
            <w:vAlign w:val="center"/>
          </w:tcPr>
          <w:p w14:paraId="58B87DCF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11" w:type="dxa"/>
            <w:tcBorders>
              <w:left w:val="single" w:color="auto" w:sz="4" w:space="0"/>
            </w:tcBorders>
            <w:noWrap w:val="0"/>
            <w:vAlign w:val="center"/>
          </w:tcPr>
          <w:p w14:paraId="2DE9FFF6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42" w:type="dxa"/>
            <w:tcBorders>
              <w:left w:val="single" w:color="auto" w:sz="4" w:space="0"/>
            </w:tcBorders>
            <w:noWrap w:val="0"/>
            <w:vAlign w:val="center"/>
          </w:tcPr>
          <w:p w14:paraId="30E3F464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51" w:type="dxa"/>
            <w:tcBorders>
              <w:left w:val="single" w:color="auto" w:sz="4" w:space="0"/>
            </w:tcBorders>
            <w:noWrap w:val="0"/>
            <w:vAlign w:val="center"/>
          </w:tcPr>
          <w:p w14:paraId="6E9E5090">
            <w:pPr>
              <w:widowControl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A9404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82" w:type="dxa"/>
            <w:noWrap w:val="0"/>
            <w:vAlign w:val="center"/>
          </w:tcPr>
          <w:p w14:paraId="6F053A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87" w:leftChars="0" w:firstLine="397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2046" w:type="dxa"/>
            <w:tcBorders>
              <w:left w:val="single" w:color="auto" w:sz="4" w:space="0"/>
            </w:tcBorders>
            <w:noWrap w:val="0"/>
            <w:vAlign w:val="center"/>
          </w:tcPr>
          <w:p w14:paraId="1241FF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7" w:type="dxa"/>
            <w:tcBorders>
              <w:left w:val="single" w:color="auto" w:sz="4" w:space="0"/>
            </w:tcBorders>
            <w:noWrap w:val="0"/>
            <w:vAlign w:val="center"/>
          </w:tcPr>
          <w:p w14:paraId="384FFD18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95" w:type="dxa"/>
            <w:tcBorders>
              <w:left w:val="single" w:color="auto" w:sz="4" w:space="0"/>
            </w:tcBorders>
            <w:noWrap w:val="0"/>
            <w:vAlign w:val="center"/>
          </w:tcPr>
          <w:p w14:paraId="43BA3434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11" w:type="dxa"/>
            <w:tcBorders>
              <w:left w:val="single" w:color="auto" w:sz="4" w:space="0"/>
            </w:tcBorders>
            <w:noWrap w:val="0"/>
            <w:vAlign w:val="center"/>
          </w:tcPr>
          <w:p w14:paraId="1B172C8D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42" w:type="dxa"/>
            <w:tcBorders>
              <w:left w:val="single" w:color="auto" w:sz="4" w:space="0"/>
            </w:tcBorders>
            <w:noWrap w:val="0"/>
            <w:vAlign w:val="center"/>
          </w:tcPr>
          <w:p w14:paraId="2360F67A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51" w:type="dxa"/>
            <w:tcBorders>
              <w:left w:val="single" w:color="auto" w:sz="4" w:space="0"/>
            </w:tcBorders>
            <w:noWrap w:val="0"/>
            <w:vAlign w:val="center"/>
          </w:tcPr>
          <w:p w14:paraId="275379B2">
            <w:pPr>
              <w:widowControl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6C1C6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82" w:type="dxa"/>
            <w:noWrap w:val="0"/>
            <w:vAlign w:val="center"/>
          </w:tcPr>
          <w:p w14:paraId="00A1CFB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87" w:leftChars="0" w:firstLine="397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2046" w:type="dxa"/>
            <w:tcBorders>
              <w:left w:val="single" w:color="auto" w:sz="4" w:space="0"/>
            </w:tcBorders>
            <w:noWrap w:val="0"/>
            <w:vAlign w:val="center"/>
          </w:tcPr>
          <w:p w14:paraId="3D95B2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7" w:type="dxa"/>
            <w:tcBorders>
              <w:left w:val="single" w:color="auto" w:sz="4" w:space="0"/>
            </w:tcBorders>
            <w:noWrap w:val="0"/>
            <w:vAlign w:val="center"/>
          </w:tcPr>
          <w:p w14:paraId="45755762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95" w:type="dxa"/>
            <w:tcBorders>
              <w:left w:val="single" w:color="auto" w:sz="4" w:space="0"/>
            </w:tcBorders>
            <w:noWrap w:val="0"/>
            <w:vAlign w:val="center"/>
          </w:tcPr>
          <w:p w14:paraId="2061EC63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11" w:type="dxa"/>
            <w:tcBorders>
              <w:left w:val="single" w:color="auto" w:sz="4" w:space="0"/>
            </w:tcBorders>
            <w:noWrap w:val="0"/>
            <w:vAlign w:val="center"/>
          </w:tcPr>
          <w:p w14:paraId="1A2ACAD4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42" w:type="dxa"/>
            <w:tcBorders>
              <w:left w:val="single" w:color="auto" w:sz="4" w:space="0"/>
            </w:tcBorders>
            <w:noWrap w:val="0"/>
            <w:vAlign w:val="center"/>
          </w:tcPr>
          <w:p w14:paraId="5E33780A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51" w:type="dxa"/>
            <w:tcBorders>
              <w:left w:val="single" w:color="auto" w:sz="4" w:space="0"/>
            </w:tcBorders>
            <w:noWrap w:val="0"/>
            <w:vAlign w:val="center"/>
          </w:tcPr>
          <w:p w14:paraId="6629EC66">
            <w:pPr>
              <w:widowControl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D8C9C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82" w:type="dxa"/>
            <w:noWrap w:val="0"/>
            <w:vAlign w:val="center"/>
          </w:tcPr>
          <w:p w14:paraId="0EEB5BA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87" w:leftChars="0" w:firstLine="397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2046" w:type="dxa"/>
            <w:tcBorders>
              <w:left w:val="single" w:color="auto" w:sz="4" w:space="0"/>
            </w:tcBorders>
            <w:noWrap w:val="0"/>
            <w:vAlign w:val="center"/>
          </w:tcPr>
          <w:p w14:paraId="5705276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7" w:type="dxa"/>
            <w:tcBorders>
              <w:left w:val="single" w:color="auto" w:sz="4" w:space="0"/>
            </w:tcBorders>
            <w:noWrap w:val="0"/>
            <w:vAlign w:val="center"/>
          </w:tcPr>
          <w:p w14:paraId="08BF44FC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95" w:type="dxa"/>
            <w:tcBorders>
              <w:left w:val="single" w:color="auto" w:sz="4" w:space="0"/>
            </w:tcBorders>
            <w:noWrap w:val="0"/>
            <w:vAlign w:val="center"/>
          </w:tcPr>
          <w:p w14:paraId="28B52EAF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11" w:type="dxa"/>
            <w:tcBorders>
              <w:left w:val="single" w:color="auto" w:sz="4" w:space="0"/>
            </w:tcBorders>
            <w:noWrap w:val="0"/>
            <w:vAlign w:val="center"/>
          </w:tcPr>
          <w:p w14:paraId="39EAA3B3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42" w:type="dxa"/>
            <w:tcBorders>
              <w:left w:val="single" w:color="auto" w:sz="4" w:space="0"/>
            </w:tcBorders>
            <w:noWrap w:val="0"/>
            <w:vAlign w:val="center"/>
          </w:tcPr>
          <w:p w14:paraId="00C2124D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51" w:type="dxa"/>
            <w:tcBorders>
              <w:left w:val="single" w:color="auto" w:sz="4" w:space="0"/>
            </w:tcBorders>
            <w:noWrap w:val="0"/>
            <w:vAlign w:val="center"/>
          </w:tcPr>
          <w:p w14:paraId="11A8E95D">
            <w:pPr>
              <w:widowControl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C3824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82" w:type="dxa"/>
            <w:noWrap w:val="0"/>
            <w:vAlign w:val="center"/>
          </w:tcPr>
          <w:p w14:paraId="432ED7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87" w:leftChars="0" w:firstLine="397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2046" w:type="dxa"/>
            <w:tcBorders>
              <w:left w:val="single" w:color="auto" w:sz="4" w:space="0"/>
            </w:tcBorders>
            <w:noWrap w:val="0"/>
            <w:vAlign w:val="center"/>
          </w:tcPr>
          <w:p w14:paraId="7971B4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7" w:type="dxa"/>
            <w:tcBorders>
              <w:left w:val="single" w:color="auto" w:sz="4" w:space="0"/>
            </w:tcBorders>
            <w:noWrap w:val="0"/>
            <w:vAlign w:val="center"/>
          </w:tcPr>
          <w:p w14:paraId="7E4569FD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95" w:type="dxa"/>
            <w:tcBorders>
              <w:left w:val="single" w:color="auto" w:sz="4" w:space="0"/>
            </w:tcBorders>
            <w:noWrap w:val="0"/>
            <w:vAlign w:val="center"/>
          </w:tcPr>
          <w:p w14:paraId="416026ED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11" w:type="dxa"/>
            <w:tcBorders>
              <w:left w:val="single" w:color="auto" w:sz="4" w:space="0"/>
            </w:tcBorders>
            <w:noWrap w:val="0"/>
            <w:vAlign w:val="center"/>
          </w:tcPr>
          <w:p w14:paraId="3E5A1C4D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42" w:type="dxa"/>
            <w:tcBorders>
              <w:left w:val="single" w:color="auto" w:sz="4" w:space="0"/>
            </w:tcBorders>
            <w:noWrap w:val="0"/>
            <w:vAlign w:val="center"/>
          </w:tcPr>
          <w:p w14:paraId="63901B37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51" w:type="dxa"/>
            <w:tcBorders>
              <w:left w:val="single" w:color="auto" w:sz="4" w:space="0"/>
            </w:tcBorders>
            <w:noWrap w:val="0"/>
            <w:vAlign w:val="center"/>
          </w:tcPr>
          <w:p w14:paraId="4E0BDC8A">
            <w:pPr>
              <w:widowControl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5D81D2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4410" w:type="dxa"/>
            <w:gridSpan w:val="4"/>
            <w:noWrap w:val="0"/>
            <w:vAlign w:val="center"/>
          </w:tcPr>
          <w:p w14:paraId="59CC2D99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default" w:eastAsia="宋体" w:cs="Times New Roman"/>
                <w:b w:val="0"/>
                <w:bCs w:val="0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 w:cs="Times New Roman"/>
                <w:b w:val="0"/>
                <w:bCs w:val="0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合计（含税，元）</w:t>
            </w:r>
          </w:p>
        </w:tc>
        <w:tc>
          <w:tcPr>
            <w:tcW w:w="1411" w:type="dxa"/>
            <w:noWrap w:val="0"/>
            <w:vAlign w:val="top"/>
          </w:tcPr>
          <w:p w14:paraId="3C08CEDF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42" w:type="dxa"/>
            <w:noWrap w:val="0"/>
            <w:vAlign w:val="top"/>
          </w:tcPr>
          <w:p w14:paraId="3AD80B1A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rPr>
                <w:rFonts w:hint="eastAsia" w:eastAsia="宋体" w:cs="Times New Roman"/>
                <w:i w:val="0"/>
                <w:iCs w:val="0"/>
                <w:strike w:val="0"/>
                <w:dstrike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32934B28">
            <w:pPr>
              <w:widowControl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 w14:paraId="4C9B052A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</w:t>
      </w:r>
      <w:r>
        <w:rPr>
          <w:rFonts w:hint="eastAsia" w:cs="Times New Roman"/>
          <w:highlight w:val="none"/>
          <w:lang w:val="en-US" w:eastAsia="zh-CN"/>
        </w:rPr>
        <w:t>响应单位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应按不低于总价的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1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%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免费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提供脚轮、前后牵引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，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该清单不计入</w:t>
      </w:r>
      <w:r>
        <w:rPr>
          <w:rFonts w:hint="eastAsia" w:cs="Times New Roman"/>
          <w:highlight w:val="none"/>
          <w:lang w:val="en-US" w:eastAsia="zh-CN"/>
        </w:rPr>
        <w:t>响应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报价</w:t>
      </w:r>
      <w:r>
        <w:rPr>
          <w:rFonts w:hint="eastAsia"/>
          <w:highlight w:val="none"/>
          <w:lang w:val="en-US" w:eastAsia="zh-CN"/>
        </w:rPr>
        <w:t>）</w:t>
      </w:r>
    </w:p>
    <w:p w14:paraId="57B5A24B">
      <w:pPr>
        <w:bidi w:val="0"/>
        <w:rPr>
          <w:rFonts w:hint="eastAsia"/>
          <w:lang w:val="en-US" w:eastAsia="zh-CN"/>
        </w:rPr>
      </w:pPr>
    </w:p>
    <w:p w14:paraId="4C02533D">
      <w:pPr>
        <w:spacing w:line="241" w:lineRule="auto"/>
        <w:rPr>
          <w:rFonts w:hint="eastAsia" w:ascii="仿宋_GB2312" w:hAnsi="仿宋_GB2312" w:eastAsia="仿宋_GB2312" w:cs="仿宋_GB2312"/>
          <w:spacing w:val="-16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报价人：（盖公章）</w:t>
      </w:r>
    </w:p>
    <w:p w14:paraId="5F918FB5">
      <w:pPr>
        <w:pStyle w:val="5"/>
        <w:spacing w:before="91" w:line="216" w:lineRule="auto"/>
        <w:jc w:val="both"/>
        <w:rPr>
          <w:rFonts w:hint="eastAsia" w:ascii="仿宋_GB2312" w:hAnsi="仿宋_GB2312" w:eastAsia="仿宋_GB2312" w:cs="仿宋_GB2312"/>
          <w:spacing w:val="-16"/>
          <w:sz w:val="32"/>
          <w:szCs w:val="32"/>
          <w:lang w:val="en-US" w:eastAsia="zh-CN"/>
        </w:rPr>
      </w:pPr>
    </w:p>
    <w:p w14:paraId="30BE04AF">
      <w:pPr>
        <w:pStyle w:val="5"/>
        <w:spacing w:before="91" w:line="216" w:lineRule="auto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16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期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-4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日</w:t>
      </w:r>
    </w:p>
    <w:p w14:paraId="4ECB0FBF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C4E59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069FC9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069FC9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E3C94">
    <w:pPr>
      <w:pStyle w:val="9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海马新能源汽车有限公司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52063"/>
    <w:rsid w:val="01D65A4C"/>
    <w:rsid w:val="02866093"/>
    <w:rsid w:val="03856C31"/>
    <w:rsid w:val="03A8028B"/>
    <w:rsid w:val="057C552B"/>
    <w:rsid w:val="05D86CA0"/>
    <w:rsid w:val="05ED6429"/>
    <w:rsid w:val="06D57C1E"/>
    <w:rsid w:val="06F061D0"/>
    <w:rsid w:val="081F7E88"/>
    <w:rsid w:val="08907C6B"/>
    <w:rsid w:val="093B1991"/>
    <w:rsid w:val="09772BD9"/>
    <w:rsid w:val="09EF6C13"/>
    <w:rsid w:val="0A6B21A6"/>
    <w:rsid w:val="0AAC26AE"/>
    <w:rsid w:val="0BD55995"/>
    <w:rsid w:val="0DB22432"/>
    <w:rsid w:val="0E790B1F"/>
    <w:rsid w:val="0F410916"/>
    <w:rsid w:val="10190546"/>
    <w:rsid w:val="10E37E57"/>
    <w:rsid w:val="11C024B0"/>
    <w:rsid w:val="12C329EB"/>
    <w:rsid w:val="1355718A"/>
    <w:rsid w:val="14F56D34"/>
    <w:rsid w:val="1571302A"/>
    <w:rsid w:val="157601E9"/>
    <w:rsid w:val="169E3AE3"/>
    <w:rsid w:val="170B5C61"/>
    <w:rsid w:val="174762AE"/>
    <w:rsid w:val="19704F4F"/>
    <w:rsid w:val="1A3C32CC"/>
    <w:rsid w:val="1A516B2E"/>
    <w:rsid w:val="1CE123EB"/>
    <w:rsid w:val="1D2642A2"/>
    <w:rsid w:val="1E407AA6"/>
    <w:rsid w:val="1EB8717C"/>
    <w:rsid w:val="1F0C74C8"/>
    <w:rsid w:val="1FB77434"/>
    <w:rsid w:val="20362A4E"/>
    <w:rsid w:val="20FF1092"/>
    <w:rsid w:val="222470EA"/>
    <w:rsid w:val="22EA36DF"/>
    <w:rsid w:val="23021B23"/>
    <w:rsid w:val="23DE587B"/>
    <w:rsid w:val="245636BF"/>
    <w:rsid w:val="24A501A2"/>
    <w:rsid w:val="250749B9"/>
    <w:rsid w:val="25E87860"/>
    <w:rsid w:val="25F37A51"/>
    <w:rsid w:val="26551754"/>
    <w:rsid w:val="26554726"/>
    <w:rsid w:val="28177E16"/>
    <w:rsid w:val="291C3D7C"/>
    <w:rsid w:val="2AEB08D9"/>
    <w:rsid w:val="2C4D5FD2"/>
    <w:rsid w:val="2C6F6FA0"/>
    <w:rsid w:val="2CA13945"/>
    <w:rsid w:val="2CDC2BCF"/>
    <w:rsid w:val="2E8B0409"/>
    <w:rsid w:val="2EC81A7A"/>
    <w:rsid w:val="32232418"/>
    <w:rsid w:val="338E5A8B"/>
    <w:rsid w:val="350D7978"/>
    <w:rsid w:val="3522027C"/>
    <w:rsid w:val="35AE2C2F"/>
    <w:rsid w:val="35B13D64"/>
    <w:rsid w:val="36914A2B"/>
    <w:rsid w:val="399D7242"/>
    <w:rsid w:val="39DB09F4"/>
    <w:rsid w:val="3A080B60"/>
    <w:rsid w:val="3B53405D"/>
    <w:rsid w:val="3BE61375"/>
    <w:rsid w:val="3C5E1E3E"/>
    <w:rsid w:val="3C9B3956"/>
    <w:rsid w:val="3CE04670"/>
    <w:rsid w:val="3D304C72"/>
    <w:rsid w:val="402E32EA"/>
    <w:rsid w:val="4105229D"/>
    <w:rsid w:val="43E274B7"/>
    <w:rsid w:val="45AB53BD"/>
    <w:rsid w:val="46902223"/>
    <w:rsid w:val="482D3E87"/>
    <w:rsid w:val="48897310"/>
    <w:rsid w:val="4BE73363"/>
    <w:rsid w:val="4C3954F1"/>
    <w:rsid w:val="4DB76326"/>
    <w:rsid w:val="4E7E7CE0"/>
    <w:rsid w:val="4F624D7F"/>
    <w:rsid w:val="4F710AFD"/>
    <w:rsid w:val="4FBA6948"/>
    <w:rsid w:val="507E34D2"/>
    <w:rsid w:val="51154169"/>
    <w:rsid w:val="51191D2C"/>
    <w:rsid w:val="511D0F3D"/>
    <w:rsid w:val="5184720E"/>
    <w:rsid w:val="54225706"/>
    <w:rsid w:val="5423711F"/>
    <w:rsid w:val="55990DAE"/>
    <w:rsid w:val="55CE6CAA"/>
    <w:rsid w:val="56927CD7"/>
    <w:rsid w:val="582E3A30"/>
    <w:rsid w:val="58CC7028"/>
    <w:rsid w:val="598F04FE"/>
    <w:rsid w:val="5ADF54B5"/>
    <w:rsid w:val="5B7C2EBF"/>
    <w:rsid w:val="5C9127DF"/>
    <w:rsid w:val="5D101956"/>
    <w:rsid w:val="604A7374"/>
    <w:rsid w:val="64A9576A"/>
    <w:rsid w:val="64D71259"/>
    <w:rsid w:val="65250642"/>
    <w:rsid w:val="65921AA2"/>
    <w:rsid w:val="65960E66"/>
    <w:rsid w:val="666E21C2"/>
    <w:rsid w:val="673A2703"/>
    <w:rsid w:val="67AA29A7"/>
    <w:rsid w:val="67BB1356"/>
    <w:rsid w:val="68406794"/>
    <w:rsid w:val="6A692025"/>
    <w:rsid w:val="6ABD3C20"/>
    <w:rsid w:val="6CBB53FC"/>
    <w:rsid w:val="6D54763D"/>
    <w:rsid w:val="6D5D0BE7"/>
    <w:rsid w:val="6F4B0F13"/>
    <w:rsid w:val="6F5B38E5"/>
    <w:rsid w:val="6FBC7DB9"/>
    <w:rsid w:val="6FFE1AE2"/>
    <w:rsid w:val="704957D0"/>
    <w:rsid w:val="70A73F27"/>
    <w:rsid w:val="724C4D86"/>
    <w:rsid w:val="72584831"/>
    <w:rsid w:val="72730565"/>
    <w:rsid w:val="76C021E7"/>
    <w:rsid w:val="76FF686B"/>
    <w:rsid w:val="77471FC0"/>
    <w:rsid w:val="77A60FEB"/>
    <w:rsid w:val="77C67389"/>
    <w:rsid w:val="7840538D"/>
    <w:rsid w:val="78A02A5A"/>
    <w:rsid w:val="799B67A6"/>
    <w:rsid w:val="7A0B5527"/>
    <w:rsid w:val="7A9E30E3"/>
    <w:rsid w:val="7C014E34"/>
    <w:rsid w:val="7C4F660F"/>
    <w:rsid w:val="7C8B0C34"/>
    <w:rsid w:val="7CB82A35"/>
    <w:rsid w:val="7D7B057F"/>
    <w:rsid w:val="7F6779F6"/>
    <w:rsid w:val="7FCE14D1"/>
    <w:rsid w:val="7FE5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semiHidden/>
    <w:qFormat/>
    <w:uiPriority w:val="0"/>
    <w:rPr>
      <w:rFonts w:ascii="黑体" w:hAnsi="黑体" w:eastAsia="黑体" w:cs="黑体"/>
      <w:sz w:val="28"/>
      <w:szCs w:val="28"/>
      <w:lang w:val="en-US" w:eastAsia="en-US" w:bidi="ar-SA"/>
    </w:rPr>
  </w:style>
  <w:style w:type="paragraph" w:styleId="6">
    <w:name w:val="Body Text Indent"/>
    <w:basedOn w:val="1"/>
    <w:next w:val="7"/>
    <w:qFormat/>
    <w:uiPriority w:val="0"/>
    <w:pPr>
      <w:ind w:firstLine="630"/>
    </w:pPr>
    <w:rPr>
      <w:rFonts w:eastAsia="仿宋_GB2312"/>
      <w:sz w:val="28"/>
      <w:szCs w:val="20"/>
    </w:rPr>
  </w:style>
  <w:style w:type="paragraph" w:styleId="7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Strong"/>
    <w:basedOn w:val="12"/>
    <w:qFormat/>
    <w:uiPriority w:val="0"/>
    <w:rPr>
      <w:b/>
    </w:rPr>
  </w:style>
  <w:style w:type="character" w:customStyle="1" w:styleId="14">
    <w:name w:val="font2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5">
    <w:name w:val="font3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table" w:customStyle="1" w:styleId="1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Table Text"/>
    <w:basedOn w:val="1"/>
    <w:autoRedefine/>
    <w:semiHidden/>
    <w:qFormat/>
    <w:uiPriority w:val="0"/>
    <w:rPr>
      <w:rFonts w:ascii="宋体" w:hAnsi="宋体" w:eastAsia="宋体" w:cs="宋体"/>
      <w:sz w:val="25"/>
      <w:szCs w:val="25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712</Words>
  <Characters>914</Characters>
  <Lines>0</Lines>
  <Paragraphs>0</Paragraphs>
  <TotalTime>22</TotalTime>
  <ScaleCrop>false</ScaleCrop>
  <LinksUpToDate>false</LinksUpToDate>
  <CharactersWithSpaces>914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2026-03-11T08:07:00Z</dcterms:created>
  <dc:creator>LENOVO</dc:creator>
  <cp:lastModifiedBy>모모~</cp:lastModifiedBy>
  <dcterms:modified xsi:type="dcterms:W3CDTF">2026-09-03T08:58:42Z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eyJoZGlkIjoiMGQ3NDg0MzMyZTZlNDE3NWUzNGE1ZGJmNjM2ODJiOTUiLCJ1c2VySWQiOiI0NDgzMDQ1OTAifQ==</vt:lpwstr>
  </property>
  <property fmtid="{D5CDD505-2E9C-101B-9397-08002B2CF9AE}" pid="4" name="ICV">
    <vt:lpwstr>0814BF0CA28F436491F9D870995A3F1B_13</vt:lpwstr>
  </property>
</Properties>
</file>