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ind w:left="480"/>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lang w:val="en-US" w:eastAsia="zh-CN"/>
        </w:rPr>
        <w:t>海马新能源汽车有限公司数智化工厂技术改造环保技术咨询服务采购项目</w:t>
      </w:r>
      <w:r>
        <w:rPr>
          <w:rFonts w:hint="eastAsia" w:ascii="方正小标宋简体" w:hAnsi="方正小标宋简体" w:eastAsia="方正小标宋简体" w:cs="方正小标宋简体"/>
          <w:spacing w:val="9"/>
          <w:sz w:val="36"/>
          <w:szCs w:val="36"/>
        </w:rPr>
        <w:t>询价函</w:t>
      </w:r>
    </w:p>
    <w:tbl>
      <w:tblPr>
        <w:tblStyle w:val="8"/>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561"/>
        <w:gridCol w:w="5974"/>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6" w:type="dxa"/>
            <w:vAlign w:val="center"/>
          </w:tcPr>
          <w:p w14:paraId="0FA31D42">
            <w:pPr>
              <w:pStyle w:val="9"/>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61" w:type="dxa"/>
            <w:vAlign w:val="center"/>
          </w:tcPr>
          <w:p w14:paraId="63B5C5CF">
            <w:pPr>
              <w:pStyle w:val="9"/>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5974" w:type="dxa"/>
            <w:vAlign w:val="center"/>
          </w:tcPr>
          <w:p w14:paraId="2FD884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海马新能源汽车有限公司数智化工厂技术改造环保技术咨询服务采购项目</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9"/>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61" w:type="dxa"/>
            <w:vAlign w:val="center"/>
          </w:tcPr>
          <w:p w14:paraId="0BFAB9B6">
            <w:pPr>
              <w:pStyle w:val="9"/>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5974" w:type="dxa"/>
            <w:vAlign w:val="center"/>
          </w:tcPr>
          <w:p w14:paraId="4275F00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（1）环境影响评价及批复：包含但不限于环评报告书编制（提供终版报告书PDF电子版1份，书面盖章版不少于8份）、及时取得环评批复、组织专家评审会并承担相关费用等。</w:t>
            </w:r>
          </w:p>
          <w:p w14:paraId="4EA6CA8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（2）排污许可证：包含但不限于编制/填报排污许可证相关材料并按时取得排污许可证，提供正/副本排污许可证。</w:t>
            </w:r>
          </w:p>
          <w:p w14:paraId="0535375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（3）竣工环境保护验收：包含但不限于根据要求完成项目现场监测、检测、竣工环保验收报告编制、组织专家评审、项目公示等工作，提供最终验收资料：PDF电子版1份，书面盖章版不少于8份。</w:t>
            </w:r>
          </w:p>
          <w:p w14:paraId="0D4E97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9"/>
                <w:sz w:val="28"/>
                <w:szCs w:val="28"/>
                <w:lang w:val="en-US" w:eastAsia="zh-CN"/>
              </w:rPr>
              <w:t>（4）突发环境事件应急预案：编制突发环境事件应急预案，组织专家评审会、完成生态环境局备案等，提供资料：电子版1份，书面盖章版不少于8份。</w:t>
            </w:r>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9"/>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61" w:type="dxa"/>
            <w:vAlign w:val="center"/>
          </w:tcPr>
          <w:p w14:paraId="2E8F4CC0">
            <w:pPr>
              <w:pStyle w:val="9"/>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5974" w:type="dxa"/>
            <w:vAlign w:val="center"/>
          </w:tcPr>
          <w:p w14:paraId="2041753F">
            <w:pPr>
              <w:pStyle w:val="9"/>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9"/>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61" w:type="dxa"/>
            <w:vAlign w:val="center"/>
          </w:tcPr>
          <w:p w14:paraId="024B34E4">
            <w:pPr>
              <w:pStyle w:val="9"/>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5974" w:type="dxa"/>
            <w:vAlign w:val="center"/>
          </w:tcPr>
          <w:p w14:paraId="2BAF5D80">
            <w:pPr>
              <w:pStyle w:val="9"/>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lang w:val="en-US" w:eastAsia="zh-CN"/>
              </w:rPr>
              <w:t>22</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246B9A6">
            <w:pPr>
              <w:pStyle w:val="9"/>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61" w:type="dxa"/>
            <w:vAlign w:val="center"/>
          </w:tcPr>
          <w:p w14:paraId="64A7D678">
            <w:pPr>
              <w:pStyle w:val="9"/>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9"/>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5974"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9"/>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46D520F3">
            <w:pPr>
              <w:pStyle w:val="9"/>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61" w:type="dxa"/>
            <w:vAlign w:val="center"/>
          </w:tcPr>
          <w:p w14:paraId="2BA58812">
            <w:pPr>
              <w:pStyle w:val="9"/>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5974"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739B90B0">
            <w:pPr>
              <w:pStyle w:val="9"/>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61" w:type="dxa"/>
            <w:vAlign w:val="center"/>
          </w:tcPr>
          <w:p w14:paraId="4FC0EA8D">
            <w:pPr>
              <w:pStyle w:val="9"/>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5974"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253D957B">
            <w:pPr>
              <w:pStyle w:val="9"/>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61" w:type="dxa"/>
            <w:vAlign w:val="center"/>
          </w:tcPr>
          <w:p w14:paraId="75C8804D">
            <w:pPr>
              <w:pStyle w:val="9"/>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5974" w:type="dxa"/>
            <w:vAlign w:val="center"/>
          </w:tcPr>
          <w:p w14:paraId="65A17225">
            <w:pPr>
              <w:pStyle w:val="9"/>
              <w:spacing w:before="91" w:line="224" w:lineRule="auto"/>
              <w:jc w:val="center"/>
              <w:rPr>
                <w:rFonts w:hint="eastAsia" w:ascii="仿宋_GB2312" w:hAnsi="仿宋_GB2312" w:eastAsia="仿宋_GB2312" w:cs="仿宋_GB2312"/>
                <w:sz w:val="28"/>
                <w:szCs w:val="28"/>
              </w:rPr>
            </w:pP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9"/>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61" w:type="dxa"/>
            <w:vAlign w:val="center"/>
          </w:tcPr>
          <w:p w14:paraId="40AEE45D">
            <w:pPr>
              <w:pStyle w:val="9"/>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5974" w:type="dxa"/>
            <w:vAlign w:val="center"/>
          </w:tcPr>
          <w:p w14:paraId="239DE41D">
            <w:pPr>
              <w:pStyle w:val="9"/>
              <w:spacing w:before="176" w:line="216" w:lineRule="auto"/>
              <w:jc w:val="center"/>
              <w:rPr>
                <w:rFonts w:hint="eastAsia" w:ascii="仿宋_GB2312" w:hAnsi="仿宋_GB2312" w:eastAsia="仿宋_GB2312" w:cs="仿宋_GB2312"/>
                <w:sz w:val="28"/>
                <w:szCs w:val="28"/>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9"/>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561" w:type="dxa"/>
            <w:vAlign w:val="center"/>
          </w:tcPr>
          <w:p w14:paraId="09B20CA1">
            <w:pPr>
              <w:pStyle w:val="9"/>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5974"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0D8066AE">
            <w:pPr>
              <w:pStyle w:val="9"/>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561" w:type="dxa"/>
            <w:vAlign w:val="center"/>
          </w:tcPr>
          <w:p w14:paraId="16804E21">
            <w:pPr>
              <w:pStyle w:val="9"/>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5974"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9"/>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561" w:type="dxa"/>
            <w:vAlign w:val="center"/>
          </w:tcPr>
          <w:p w14:paraId="4B69AD04">
            <w:pPr>
              <w:pStyle w:val="9"/>
              <w:spacing w:before="91" w:line="214"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7"/>
                <w:sz w:val="28"/>
                <w:szCs w:val="28"/>
              </w:rPr>
              <w:t>备注</w:t>
            </w:r>
          </w:p>
        </w:tc>
        <w:tc>
          <w:tcPr>
            <w:tcW w:w="5974" w:type="dxa"/>
            <w:vAlign w:val="center"/>
          </w:tcPr>
          <w:p w14:paraId="06FBAAD1">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snapToGrid w:val="0"/>
                <w:color w:val="000000"/>
                <w:spacing w:val="-8"/>
                <w:kern w:val="0"/>
                <w:sz w:val="28"/>
                <w:szCs w:val="28"/>
                <w:lang w:val="en-US" w:eastAsia="en-US" w:bidi="ar-SA"/>
              </w:rPr>
            </w:pPr>
            <w:r>
              <w:rPr>
                <w:rFonts w:hint="eastAsia" w:ascii="仿宋_GB2312" w:hAnsi="仿宋_GB2312" w:eastAsia="仿宋_GB2312" w:cs="仿宋_GB2312"/>
                <w:snapToGrid w:val="0"/>
                <w:color w:val="000000"/>
                <w:spacing w:val="-8"/>
                <w:kern w:val="0"/>
                <w:sz w:val="28"/>
                <w:szCs w:val="28"/>
                <w:lang w:val="en-US" w:eastAsia="en-US" w:bidi="ar-SA"/>
              </w:rPr>
              <w:t>1.报价应附材料要求：</w:t>
            </w:r>
            <w:r>
              <w:rPr>
                <w:rFonts w:hint="eastAsia" w:ascii="仿宋_GB2312" w:hAnsi="仿宋_GB2312" w:eastAsia="仿宋_GB2312" w:cs="仿宋_GB2312"/>
                <w:snapToGrid w:val="0"/>
                <w:color w:val="000000"/>
                <w:spacing w:val="-8"/>
                <w:kern w:val="0"/>
                <w:sz w:val="28"/>
                <w:szCs w:val="28"/>
                <w:lang w:val="en-US" w:eastAsia="zh-CN" w:bidi="ar-SA"/>
              </w:rPr>
              <w:t>响应文件应附分项报价单明细（格式自拟）、营业执照、业绩证明材料、法定代表人身份证、授权委托书、授权代表身份证（如有）等复印件各一份并加盖公章；</w:t>
            </w:r>
          </w:p>
          <w:p w14:paraId="6337AFC8">
            <w:pPr>
              <w:pStyle w:val="9"/>
              <w:spacing w:before="39" w:line="324" w:lineRule="auto"/>
              <w:ind w:left="120" w:right="36" w:firstLine="1"/>
              <w:jc w:val="left"/>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2.总价或单价已包含但不限于材料费、人工费、制作费、</w:t>
            </w:r>
            <w:r>
              <w:rPr>
                <w:rFonts w:hint="eastAsia" w:ascii="仿宋_GB2312" w:hAnsi="仿宋_GB2312" w:eastAsia="仿宋_GB2312" w:cs="仿宋_GB2312"/>
                <w:spacing w:val="-2"/>
                <w:sz w:val="28"/>
                <w:szCs w:val="28"/>
              </w:rPr>
              <w:t>差旅费、税费及各种含税价外费用；</w:t>
            </w:r>
          </w:p>
          <w:p w14:paraId="2148CA9C">
            <w:pPr>
              <w:pStyle w:val="9"/>
              <w:spacing w:before="38" w:line="322" w:lineRule="auto"/>
              <w:ind w:left="119" w:right="107" w:firstLine="12"/>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3.响应资料递交要求：报价材料密封后邮寄至</w:t>
            </w:r>
            <w:r>
              <w:rPr>
                <w:rFonts w:hint="eastAsia" w:ascii="仿宋_GB2312" w:hAnsi="仿宋_GB2312" w:eastAsia="仿宋_GB2312" w:cs="仿宋_GB2312"/>
                <w:spacing w:val="-2"/>
                <w:sz w:val="28"/>
                <w:szCs w:val="28"/>
                <w:lang w:val="en-US" w:eastAsia="zh-CN"/>
              </w:rPr>
              <w:t>郑州市航空港区黄海路与梅河路交叉口西250米1号南楼11楼采购中心；</w:t>
            </w:r>
          </w:p>
          <w:p w14:paraId="6B919C84">
            <w:pPr>
              <w:pStyle w:val="9"/>
              <w:spacing w:before="38" w:line="322" w:lineRule="auto"/>
              <w:ind w:left="119" w:right="107" w:firstLine="1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5"/>
                <w:sz w:val="28"/>
                <w:szCs w:val="28"/>
              </w:rPr>
              <w:t>联系人：</w:t>
            </w:r>
            <w:r>
              <w:rPr>
                <w:rFonts w:hint="eastAsia" w:ascii="仿宋_GB2312" w:hAnsi="仿宋_GB2312" w:eastAsia="仿宋_GB2312" w:cs="仿宋_GB2312"/>
                <w:spacing w:val="-5"/>
                <w:sz w:val="28"/>
                <w:szCs w:val="28"/>
                <w:lang w:val="en-US" w:eastAsia="zh-CN"/>
              </w:rPr>
              <w:t>周</w:t>
            </w:r>
            <w:r>
              <w:rPr>
                <w:rFonts w:hint="eastAsia" w:ascii="仿宋_GB2312" w:hAnsi="仿宋_GB2312" w:eastAsia="仿宋_GB2312" w:cs="仿宋_GB2312"/>
                <w:spacing w:val="-5"/>
                <w:sz w:val="28"/>
                <w:szCs w:val="28"/>
              </w:rPr>
              <w:t>老师，电话：</w:t>
            </w:r>
            <w:r>
              <w:rPr>
                <w:rFonts w:hint="eastAsia" w:ascii="仿宋_GB2312" w:hAnsi="仿宋_GB2312" w:eastAsia="仿宋_GB2312" w:cs="仿宋_GB2312"/>
                <w:spacing w:val="-1"/>
                <w:sz w:val="28"/>
                <w:szCs w:val="28"/>
                <w:lang w:val="en-US" w:eastAsia="zh-CN"/>
              </w:rPr>
              <w:t>15736760426</w:t>
            </w:r>
            <w:r>
              <w:rPr>
                <w:rFonts w:hint="eastAsia" w:ascii="仿宋_GB2312" w:hAnsi="仿宋_GB2312" w:eastAsia="仿宋_GB2312" w:cs="仿宋_GB2312"/>
                <w:spacing w:val="-6"/>
                <w:sz w:val="28"/>
                <w:szCs w:val="28"/>
              </w:rPr>
              <w:t>递交截止时间为 2025 年</w:t>
            </w:r>
            <w:r>
              <w:rPr>
                <w:rFonts w:hint="eastAsia" w:ascii="仿宋_GB2312" w:hAnsi="仿宋_GB2312" w:eastAsia="仿宋_GB2312" w:cs="仿宋_GB2312"/>
                <w:spacing w:val="-6"/>
                <w:sz w:val="28"/>
                <w:szCs w:val="28"/>
                <w:lang w:val="en-US" w:eastAsia="zh-CN"/>
              </w:rPr>
              <w:t xml:space="preserve"> </w:t>
            </w:r>
            <w:r>
              <w:rPr>
                <w:rFonts w:hint="eastAsia" w:ascii="仿宋_GB2312" w:hAnsi="仿宋_GB2312" w:eastAsia="仿宋_GB2312" w:cs="仿宋_GB2312"/>
                <w:spacing w:val="31"/>
                <w:sz w:val="28"/>
                <w:szCs w:val="28"/>
                <w:lang w:val="en-US" w:eastAsia="zh-CN"/>
              </w:rPr>
              <w:t xml:space="preserve">12 </w:t>
            </w:r>
            <w:r>
              <w:rPr>
                <w:rFonts w:hint="eastAsia" w:ascii="仿宋_GB2312" w:hAnsi="仿宋_GB2312" w:eastAsia="仿宋_GB2312" w:cs="仿宋_GB2312"/>
                <w:spacing w:val="-6"/>
                <w:sz w:val="28"/>
                <w:szCs w:val="28"/>
              </w:rPr>
              <w:t>月</w:t>
            </w:r>
            <w:r>
              <w:rPr>
                <w:rFonts w:hint="eastAsia" w:ascii="仿宋_GB2312" w:hAnsi="仿宋_GB2312" w:eastAsia="仿宋_GB2312" w:cs="仿宋_GB2312"/>
                <w:spacing w:val="-36"/>
                <w:sz w:val="28"/>
                <w:szCs w:val="28"/>
              </w:rPr>
              <w:t xml:space="preserve"> </w:t>
            </w:r>
            <w:r>
              <w:rPr>
                <w:rFonts w:hint="eastAsia" w:ascii="仿宋_GB2312" w:hAnsi="仿宋_GB2312" w:eastAsia="仿宋_GB2312" w:cs="仿宋_GB2312"/>
                <w:spacing w:val="-36"/>
                <w:sz w:val="28"/>
                <w:szCs w:val="28"/>
                <w:lang w:val="en-US" w:eastAsia="zh-CN"/>
              </w:rPr>
              <w:t>10</w:t>
            </w:r>
            <w:bookmarkStart w:id="0" w:name="_GoBack"/>
            <w:bookmarkEnd w:id="0"/>
            <w:r>
              <w:rPr>
                <w:rFonts w:hint="eastAsia" w:ascii="仿宋_GB2312" w:hAnsi="仿宋_GB2312" w:eastAsia="仿宋_GB2312" w:cs="仿宋_GB2312"/>
                <w:spacing w:val="-6"/>
                <w:sz w:val="28"/>
                <w:szCs w:val="28"/>
              </w:rPr>
              <w:t xml:space="preserve"> 日</w:t>
            </w:r>
            <w:r>
              <w:rPr>
                <w:rFonts w:hint="eastAsia" w:ascii="仿宋_GB2312" w:hAnsi="仿宋_GB2312" w:eastAsia="仿宋_GB2312" w:cs="仿宋_GB2312"/>
                <w:spacing w:val="-6"/>
                <w:sz w:val="28"/>
                <w:szCs w:val="28"/>
                <w:lang w:val="en-US" w:eastAsia="zh-CN"/>
              </w:rPr>
              <w:t>下</w:t>
            </w:r>
            <w:r>
              <w:rPr>
                <w:rFonts w:hint="eastAsia" w:ascii="仿宋_GB2312" w:hAnsi="仿宋_GB2312" w:eastAsia="仿宋_GB2312" w:cs="仿宋_GB2312"/>
                <w:spacing w:val="-6"/>
                <w:sz w:val="28"/>
                <w:szCs w:val="28"/>
              </w:rPr>
              <w:t>午</w:t>
            </w:r>
            <w:r>
              <w:rPr>
                <w:rFonts w:hint="eastAsia" w:ascii="仿宋_GB2312" w:hAnsi="仿宋_GB2312" w:eastAsia="仿宋_GB2312" w:cs="仿宋_GB2312"/>
                <w:spacing w:val="-6"/>
                <w:sz w:val="28"/>
                <w:szCs w:val="28"/>
                <w:lang w:val="en-US" w:eastAsia="zh-CN"/>
              </w:rPr>
              <w:t>14</w:t>
            </w:r>
            <w:r>
              <w:rPr>
                <w:rFonts w:hint="eastAsia" w:ascii="仿宋_GB2312" w:hAnsi="仿宋_GB2312" w:eastAsia="仿宋_GB2312" w:cs="仿宋_GB2312"/>
                <w:spacing w:val="-6"/>
                <w:sz w:val="28"/>
                <w:szCs w:val="28"/>
              </w:rPr>
              <w:t>：</w:t>
            </w:r>
            <w:r>
              <w:rPr>
                <w:rFonts w:hint="eastAsia" w:ascii="仿宋_GB2312" w:hAnsi="仿宋_GB2312" w:eastAsia="仿宋_GB2312" w:cs="仿宋_GB2312"/>
                <w:spacing w:val="-6"/>
                <w:sz w:val="28"/>
                <w:szCs w:val="28"/>
                <w:lang w:val="en-US" w:eastAsia="zh-CN"/>
              </w:rPr>
              <w:t>0</w:t>
            </w:r>
            <w:r>
              <w:rPr>
                <w:rFonts w:hint="eastAsia" w:ascii="仿宋_GB2312" w:hAnsi="仿宋_GB2312" w:eastAsia="仿宋_GB2312" w:cs="仿宋_GB2312"/>
                <w:spacing w:val="-6"/>
                <w:sz w:val="28"/>
                <w:szCs w:val="28"/>
              </w:rPr>
              <w:t>0（以收</w:t>
            </w:r>
            <w:r>
              <w:rPr>
                <w:rFonts w:hint="eastAsia" w:ascii="仿宋_GB2312" w:hAnsi="仿宋_GB2312" w:eastAsia="仿宋_GB2312" w:cs="仿宋_GB2312"/>
                <w:spacing w:val="-2"/>
                <w:sz w:val="28"/>
                <w:szCs w:val="28"/>
              </w:rPr>
              <w:t>到文件时间为准</w:t>
            </w:r>
            <w:r>
              <w:rPr>
                <w:rFonts w:hint="eastAsia" w:ascii="仿宋_GB2312" w:hAnsi="仿宋_GB2312" w:eastAsia="仿宋_GB2312" w:cs="仿宋_GB2312"/>
                <w:spacing w:val="2"/>
                <w:sz w:val="28"/>
                <w:szCs w:val="28"/>
              </w:rPr>
              <w:t>）；</w:t>
            </w:r>
          </w:p>
          <w:p w14:paraId="6BF46BE9">
            <w:pPr>
              <w:pStyle w:val="9"/>
              <w:spacing w:before="44" w:line="214" w:lineRule="auto"/>
              <w:ind w:left="125"/>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5.成交规则：含税报价最低的供应商为成交供应商；</w:t>
            </w:r>
          </w:p>
          <w:p w14:paraId="11EFF11A">
            <w:pPr>
              <w:pStyle w:val="9"/>
              <w:spacing w:before="44" w:line="214" w:lineRule="auto"/>
              <w:ind w:left="125"/>
              <w:jc w:val="left"/>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未</w:t>
            </w:r>
            <w:r>
              <w:rPr>
                <w:rFonts w:hint="eastAsia" w:ascii="仿宋_GB2312" w:hAnsi="仿宋_GB2312" w:eastAsia="仿宋_GB2312" w:cs="仿宋_GB2312"/>
                <w:spacing w:val="-1"/>
                <w:sz w:val="28"/>
                <w:szCs w:val="28"/>
                <w:lang w:val="en-US" w:eastAsia="zh-CN"/>
              </w:rPr>
              <w:t>密封</w:t>
            </w:r>
            <w:r>
              <w:rPr>
                <w:rFonts w:hint="eastAsia" w:ascii="仿宋_GB2312" w:hAnsi="仿宋_GB2312" w:eastAsia="仿宋_GB2312" w:cs="仿宋_GB2312"/>
                <w:spacing w:val="-1"/>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5"/>
        <w:spacing w:before="91" w:line="216" w:lineRule="auto"/>
        <w:jc w:val="both"/>
        <w:rPr>
          <w:rFonts w:hint="eastAsia" w:ascii="仿宋_GB2312" w:hAnsi="仿宋_GB2312" w:eastAsia="仿宋_GB2312" w:cs="仿宋_GB2312"/>
          <w:spacing w:val="-16"/>
          <w:sz w:val="32"/>
          <w:szCs w:val="32"/>
          <w:lang w:val="en-US" w:eastAsia="zh-CN"/>
        </w:rPr>
      </w:pPr>
    </w:p>
    <w:p w14:paraId="4A9DAF38">
      <w:pPr>
        <w:pStyle w:val="5"/>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5"/>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5"/>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E960996"/>
    <w:rsid w:val="11C064A1"/>
    <w:rsid w:val="1B1C0E18"/>
    <w:rsid w:val="1F676BB7"/>
    <w:rsid w:val="260C3559"/>
    <w:rsid w:val="2C4A4D22"/>
    <w:rsid w:val="3F650802"/>
    <w:rsid w:val="406E1939"/>
    <w:rsid w:val="6ABB767B"/>
    <w:rsid w:val="6F615273"/>
    <w:rsid w:val="733D5CD2"/>
    <w:rsid w:val="75BF2C7F"/>
    <w:rsid w:val="77217EB5"/>
    <w:rsid w:val="7A7A33BE"/>
    <w:rsid w:val="7CF14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qFormat/>
    <w:uiPriority w:val="0"/>
    <w:rPr>
      <w:szCs w:val="22"/>
    </w:rPr>
  </w:style>
  <w:style w:type="paragraph" w:customStyle="1" w:styleId="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unhideWhenUsed/>
    <w:qFormat/>
    <w:uiPriority w:val="35"/>
    <w:rPr>
      <w:rFonts w:ascii="Cambria" w:hAnsi="Cambria" w:eastAsia="黑体"/>
      <w:sz w:val="20"/>
    </w:rPr>
  </w:style>
  <w:style w:type="paragraph" w:styleId="5">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FangSong_GB2312" w:hAnsi="FangSong_GB2312" w:eastAsia="FangSong_GB2312" w:cs="FangSong_GB2312"/>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763</Words>
  <Characters>799</Characters>
  <TotalTime>1</TotalTime>
  <ScaleCrop>false</ScaleCrop>
  <LinksUpToDate>false</LinksUpToDate>
  <CharactersWithSpaces>855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2025-12-05T08:03:40Z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eyJoZGlkIjoiYmJiODA3N2FlMjMwNWE2NjQwN2MzMDZmMWY4NDg2NDIiLCJ1c2VySWQiOiI4Nzk1NjY2NDMifQ==</vt:lpwstr>
  </property>
  <property fmtid="{D5CDD505-2E9C-101B-9397-08002B2CF9AE}" pid="5" name="KSOProductBuildVer">
    <vt:lpwstr>2052-12.1.0.23542</vt:lpwstr>
  </property>
  <property fmtid="{D5CDD505-2E9C-101B-9397-08002B2CF9AE}" pid="6" name="ICV">
    <vt:lpwstr>404C17582F054FA99FD800B5B3B8E4F5_12</vt:lpwstr>
  </property>
</Properties>
</file>